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C2E" w:val="clear"/>
            <w:tcMar>
              <w:top w:type="dxa" w:w="100"/>
              <w:left w:type="dxa" w:w="140"/>
              <w:bottom w:type="dxa" w:w="100"/>
              <w:right w:type="dxa" w:w="140"/>
            </w:tcMar>
            <w:vAlign w:val="center"/>
          </w:tcPr>
          <w:p>
            <w:pPr>
              <w:jc w:val="center"/>
            </w:pPr>
            <w:r>
              <w:rPr>
                <w:rFonts w:ascii="Calibri" w:cs="Calibri" w:eastAsia="Calibri" w:hAnsi="Calibri"/>
                <w:b/>
                <w:bCs/>
                <w:color w:val="FFFFFF"/>
                <w:sz w:val="32"/>
                <w:szCs w:val="32"/>
              </w:rPr>
              <w:t xml:space="preserve">PROPUESTA TÉCNICA Y ESTRATÉGICA</w:t>
            </w:r>
          </w:p>
          <w:p>
            <w:pPr>
              <w:jc w:val="center"/>
            </w:pPr>
            <w:r>
              <w:rPr>
                <w:rFonts w:ascii="Calibri" w:cs="Calibri" w:eastAsia="Calibri" w:hAnsi="Calibri"/>
                <w:b/>
                <w:bCs/>
                <w:color w:val="FFFFFF"/>
                <w:sz w:val="32"/>
                <w:szCs w:val="32"/>
              </w:rPr>
              <w:t xml:space="preserve">Modernización de Infraestructura Crítica Híbrida 24/7</w:t>
            </w:r>
          </w:p>
          <w:p>
            <w:pPr>
              <w:jc w:val="center"/>
            </w:pPr>
            <w:r>
              <w:rPr>
                <w:rFonts w:ascii="Calibri" w:cs="Calibri" w:eastAsia="Calibri" w:hAnsi="Calibri"/>
                <w:b/>
                <w:bCs/>
                <w:color w:val="FFFFFF"/>
                <w:sz w:val="32"/>
                <w:szCs w:val="32"/>
              </w:rPr>
              <w:t xml:space="preserve">EVALUACIÓN DE CONTINUIDAD OPERATIVA · 2026</w:t>
            </w:r>
          </w:p>
        </w:tc>
      </w:tr>
      <w:tr>
        <w:tc>
          <w:tcPr>
            <w:tcW w:type="dxa" w:w="9360"/>
            <w:tcBorders>
              <w:top w:val="none" w:color="FFFFFF" w:sz="0"/>
              <w:left w:val="none" w:color="FFFFFF" w:sz="0"/>
              <w:bottom w:val="none" w:color="FFFFFF" w:sz="0"/>
              <w:right w:val="none" w:color="FFFFFF" w:sz="0"/>
            </w:tcBorders>
            <w:shd w:fill="2471A3" w:val="clear"/>
            <w:tcMar>
              <w:top w:type="dxa" w:w="100"/>
              <w:left w:type="dxa" w:w="140"/>
              <w:bottom w:type="dxa" w:w="100"/>
              <w:right w:type="dxa" w:w="140"/>
            </w:tcMar>
            <w:vAlign w:val="center"/>
          </w:tcPr>
          <w:p>
            <w:pPr>
              <w:jc w:val="center"/>
            </w:pPr>
            <w:r>
              <w:rPr>
                <w:rFonts w:ascii="Calibri" w:cs="Calibri" w:eastAsia="Calibri" w:hAnsi="Calibri"/>
                <w:b/>
                <w:bCs/>
                <w:color w:val="FFFFFF"/>
                <w:sz w:val="18"/>
                <w:szCs w:val="18"/>
              </w:rPr>
              <w:t xml:space="preserve">SEGURIDAD ALEMANA LTDA  ·  Central de Monitoreo Proactiva</w:t>
            </w:r>
          </w:p>
        </w:tc>
      </w:tr>
    </w:tbl>
    <w:p>
      <w:pPr>
        <w:spacing w:after="0" w:before="2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DD3DB" w:sz="1"/>
              <w:left w:val="single" w:color="CDD3DB" w:sz="1"/>
              <w:bottom w:val="single" w:color="CDD3DB" w:sz="1"/>
              <w:right w:val="single" w:color="CDD3DB" w:sz="1"/>
            </w:tcBorders>
            <w:shd w:fill="0B1C2E"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DATOS DEL PROYECTO</w:t>
            </w:r>
          </w:p>
        </w:tc>
        <w:tc>
          <w:tcPr>
            <w:tcW w:type="dxa" w:w="6360"/>
            <w:tcBorders>
              <w:top w:val="single" w:color="CDD3DB" w:sz="1"/>
              <w:left w:val="single" w:color="CDD3DB" w:sz="1"/>
              <w:bottom w:val="single" w:color="CDD3DB" w:sz="1"/>
              <w:right w:val="single" w:color="CDD3DB" w:sz="1"/>
            </w:tcBorders>
            <w:shd w:fill="0B1C2E"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7"/>
                <w:szCs w:val="17"/>
              </w:rPr>
              <w:t xml:space="preserve">Cliente</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7"/>
                <w:szCs w:val="17"/>
              </w:rPr>
              <w:t xml:space="preserve">Seguridad Alemana LTDA</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7"/>
                <w:szCs w:val="17"/>
              </w:rPr>
              <w:t xml:space="preserve">NIT</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7"/>
                <w:szCs w:val="17"/>
              </w:rPr>
              <w:t xml:space="preserve">900.802.610</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7"/>
                <w:szCs w:val="17"/>
              </w:rPr>
              <w:t xml:space="preserve">Dirección</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7"/>
                <w:szCs w:val="17"/>
              </w:rPr>
              <w:t xml:space="preserve">Calle 116A #71-54, Bogotá D.C.</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7"/>
                <w:szCs w:val="17"/>
              </w:rPr>
              <w:t xml:space="preserve">Auditoría técnica</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7"/>
                <w:szCs w:val="17"/>
              </w:rPr>
              <w:t xml:space="preserve">Completada — 6 de mayo de 2026 ✓</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7"/>
                <w:szCs w:val="17"/>
              </w:rPr>
              <w:t xml:space="preserve">Fecha de propuesta</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7"/>
                <w:szCs w:val="17"/>
              </w:rPr>
              <w:t xml:space="preserve">11 de mayo de 2026</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7"/>
                <w:szCs w:val="17"/>
              </w:rPr>
              <w:t xml:space="preserve">Validez</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7"/>
                <w:szCs w:val="17"/>
              </w:rPr>
              <w:t xml:space="preserve">30 días calendario</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7"/>
                <w:szCs w:val="17"/>
              </w:rPr>
              <w:t xml:space="preserve">Moneda</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7"/>
                <w:szCs w:val="17"/>
              </w:rPr>
              <w:t xml:space="preserve">Pesos Colombianos (COP) — IVA NO incluido</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7"/>
                <w:szCs w:val="17"/>
              </w:rPr>
              <w:t xml:space="preserve">Forma de pago</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7"/>
                <w:szCs w:val="17"/>
              </w:rPr>
              <w:t xml:space="preserve">50% al aprobar · 50% en entrega formal</w:t>
            </w:r>
          </w:p>
        </w:tc>
      </w:tr>
    </w:tbl>
    <w:p>
      <w:pPr>
        <w:spacing w:after="0" w:before="220"/>
      </w:pPr>
      <w:r>
        <w:t xml:space="preserve"/>
      </w:r>
    </w:p>
    <w:p>
      <w:pPr>
        <w:pBdr>
          <w:bottom w:val="single" w:color="2471A3" w:sz="8" w:space="4"/>
        </w:pBdr>
        <w:spacing w:after="120" w:before="340"/>
      </w:pPr>
      <w:r>
        <w:rPr>
          <w:rFonts w:ascii="Calibri" w:cs="Calibri" w:eastAsia="Calibri" w:hAnsi="Calibri"/>
          <w:b/>
          <w:bCs/>
          <w:color w:val="0B1C2E"/>
          <w:sz w:val="26"/>
          <w:szCs w:val="26"/>
        </w:rPr>
        <w:t xml:space="preserve">1. RESUMEN EJECUTIVO</w:t>
      </w:r>
    </w:p>
    <w:p>
      <w:pPr>
        <w:spacing w:after="80" w:before="80"/>
        <w:jc w:val="left"/>
      </w:pPr>
      <w:r>
        <w:rPr>
          <w:rFonts w:ascii="Calibri" w:cs="Calibri" w:eastAsia="Calibri" w:hAnsi="Calibri"/>
          <w:b w:val="false"/>
          <w:bCs w:val="false"/>
          <w:color w:val="0D0D0D"/>
          <w:sz w:val="20"/>
          <w:szCs w:val="20"/>
        </w:rPr>
        <w:t xml:space="preserve">Este documento presenta la evaluación técnica para la transición del sistema de monitoreo de Seguridad Alemana LTDA a una infraestructura de nube resiliente. No se trata solo de mover un software, sino de asegurar que la central de monitoreo opere sin interrupciones, eliminando los riesgos detectados en la auditoría del 6 de mayo.</w:t>
      </w:r>
    </w:p>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Hallazgo Auditado</w:t>
            </w:r>
          </w:p>
        </w:tc>
        <w:tc>
          <w:tcPr>
            <w:tcW w:type="dxa" w:w="63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Detalle Técnico Real</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Sistema Operativo</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Windows 10 Pro 64-bit · Build 10.0.19045</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CPU del servidor</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AMD Ryzen 5 3600X · 6 núcleos / 12 hilos</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RAM del servidor</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32 GB DDR4 — muy por encima de lo necesario</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Almacenamiento</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Disco C: 446 GB (348 GB libres) · Disco D: 931 GB (665 GB libres)</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Uso de recursos actual</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CPU 0–5% · El servidor está sobredimensionado para la carga real</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Software Receptor IP</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Intelbras Receptor IP v3.0.43.0</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Base de datos</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Firebird 2.5.4 · Archivo: RECEPTORIP.FDB · Tamaño: 17.8 MB</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Middleware de reenvío</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ForwarderORS activo · Reenvía eventos del Receptor IP al software de monitoreo</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CCTV en el mismo servidor</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iVMS-4200 (Hikvision) + PostgreSQL + Nginx</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Acceso remoto actual</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AnyDesk activo como servicio</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IP pública del servidor</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201.244.124.14 (dinámica — cambia si se reinicia el router)</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Puerto de alarmas</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Puerto 9009 TCP → 16 conexiones reales de paneles</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Puerto ForwarderORS</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Puerto 4002 TCP → 2.260+ conexiones de tráfico basura desde AWS</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Paneles reales activos</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16 paneles · Se conectan a través de Intelbras Cloud (nube del fabricante)</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Tipo de licencia</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6"/>
                <w:szCs w:val="16"/>
              </w:rPr>
              <w:t xml:space="preserve">Software-Locked → La licencia está amarrada al Hardware ID del equipo actual</w:t>
            </w:r>
          </w:p>
        </w:tc>
      </w:tr>
      <w:tr>
        <w:tc>
          <w:tcPr>
            <w:tcW w:type="dxa" w:w="3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Backups encontrados</w:t>
            </w:r>
          </w:p>
        </w:tc>
        <w:tc>
          <w:tcPr>
            <w:tcW w:type="dxa" w:w="6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7B241C"/>
                <w:sz w:val="16"/>
                <w:szCs w:val="16"/>
              </w:rPr>
              <w:t xml:space="preserve">❌ NINGUNO — No hay copias de seguridad recientes de la base de datos</w:t>
            </w:r>
          </w:p>
        </w:tc>
      </w:tr>
      <w:tr>
        <w:tc>
          <w:tcPr>
            <w:tcW w:type="dxa" w:w="3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Mayor riesgo detectado</w:t>
            </w:r>
          </w:p>
        </w:tc>
        <w:tc>
          <w:tcPr>
            <w:tcW w:type="dxa" w:w="6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7B241C"/>
                <w:sz w:val="16"/>
                <w:szCs w:val="16"/>
              </w:rPr>
              <w:t xml:space="preserve">Licencia atada al hardware + sin backups + punto único de falla</w:t>
            </w:r>
          </w:p>
        </w:tc>
      </w:tr>
    </w:tbl>
    <w:p>
      <w:pPr>
        <w:spacing w:after="0" w:before="220"/>
      </w:pPr>
      <w:r>
        <w:t xml:space="preserve"/>
      </w:r>
    </w:p>
    <w:p>
      <w:pPr>
        <w:pBdr>
          <w:bottom w:val="single" w:color="2471A3" w:sz="8" w:space="4"/>
        </w:pBdr>
        <w:spacing w:after="120" w:before="340"/>
      </w:pPr>
      <w:r>
        <w:rPr>
          <w:rFonts w:ascii="Calibri" w:cs="Calibri" w:eastAsia="Calibri" w:hAnsi="Calibri"/>
          <w:b/>
          <w:bCs/>
          <w:color w:val="0B1C2E"/>
          <w:sz w:val="26"/>
          <w:szCs w:val="26"/>
        </w:rPr>
        <w:t xml:space="preserve">2. GLOSARIO DE TÉRMINOS (PARA NO EXPERTOS)</w:t>
      </w:r>
    </w:p>
    <w:p>
      <w:pPr>
        <w:spacing w:after="60" w:before="60"/>
      </w:pPr>
      <w:r>
        <w:rPr>
          <w:b/>
          <w:bCs/>
          <w:color w:val="1A5276"/>
          <w:sz w:val="18"/>
          <w:szCs w:val="18"/>
        </w:rPr>
        <w:t xml:space="preserve">Receptor IP Intelbras: </w:t>
      </w:r>
      <w:r>
        <w:rPr>
          <w:sz w:val="17"/>
          <w:szCs w:val="17"/>
        </w:rPr>
        <w:t xml:space="preserve">Es el software principal que recibe las señales de alarma de los 16 paneles instalados en los sitios de sus clientes. Cuando una alarma se activa, la señal llega aquí primero.</w:t>
      </w:r>
    </w:p>
    <w:p>
      <w:pPr>
        <w:spacing w:after="60" w:before="60"/>
      </w:pPr>
      <w:r>
        <w:rPr>
          <w:b/>
          <w:bCs/>
          <w:color w:val="1A5276"/>
          <w:sz w:val="18"/>
          <w:szCs w:val="18"/>
        </w:rPr>
        <w:t xml:space="preserve">Intelbras Cloud: </w:t>
      </w:r>
      <w:r>
        <w:rPr>
          <w:sz w:val="17"/>
          <w:szCs w:val="17"/>
        </w:rPr>
        <w:t xml:space="preserve">Es un servicio de Intelbras que actúa como intermediario. Los paneles de alarma NO se conectan directamente al servidor de Seguridad Alemana. En su lugar, envían la señal a la nube de Intelbras, y desde ahí se reenvía al servidor. Esto simplifica enormemente la migración: solo hay que cambiar la dirección de destino UNA vez en el portal web de Intelbras, no en cada panel.</w:t>
      </w:r>
    </w:p>
    <w:p>
      <w:pPr>
        <w:spacing w:after="60" w:before="60"/>
      </w:pPr>
      <w:r>
        <w:rPr>
          <w:b/>
          <w:bCs/>
          <w:color w:val="1A5276"/>
          <w:sz w:val="18"/>
          <w:szCs w:val="18"/>
        </w:rPr>
        <w:t xml:space="preserve">OSR / ORS (Orbitand): </w:t>
      </w:r>
      <w:r>
        <w:rPr>
          <w:sz w:val="17"/>
          <w:szCs w:val="17"/>
        </w:rPr>
        <w:t xml:space="preserve">Es la plataforma de monitoreo multimarca que permite recibir señales de CUALQUIER marca de panel (Intelbras, DSC, Ajax, Honeywell, etc.) usando protocolos estándar (Contact ID y SIA). Es el CEREBRO OPERATIVO de la central: aquí los operadores ven los eventos, ejecutan protocolos y gestionan clientes. ForwarderORS es el puente que conecta el Receptor IP de Intelbras con esta plataforma.</w:t>
      </w:r>
    </w:p>
    <w:p>
      <w:pPr>
        <w:spacing w:after="60" w:before="60"/>
      </w:pPr>
      <w:r>
        <w:rPr>
          <w:b/>
          <w:bCs/>
          <w:color w:val="1A5276"/>
          <w:sz w:val="18"/>
          <w:szCs w:val="18"/>
        </w:rPr>
        <w:t xml:space="preserve">ForwarderORS: </w:t>
      </w:r>
      <w:r>
        <w:rPr>
          <w:sz w:val="17"/>
          <w:szCs w:val="17"/>
        </w:rPr>
        <w:t xml:space="preserve">Es un programa que toma los eventos que recibe el Receptor IP y los reenvía al software de monitoreo (OSR/ORS). Funciona como un puente entre el receptor y la pantalla del operador. NO es un sistema complejo — consume 0% de CPU y solo 160 MB de RAM.</w:t>
      </w:r>
    </w:p>
    <w:p>
      <w:pPr>
        <w:spacing w:after="60" w:before="60"/>
      </w:pPr>
      <w:r>
        <w:rPr>
          <w:b/>
          <w:bCs/>
          <w:color w:val="1A5276"/>
          <w:sz w:val="18"/>
          <w:szCs w:val="18"/>
        </w:rPr>
        <w:t xml:space="preserve">Firebird: </w:t>
      </w:r>
      <w:r>
        <w:rPr>
          <w:sz w:val="17"/>
          <w:szCs w:val="17"/>
        </w:rPr>
        <w:t xml:space="preserve">Es el motor de base de datos donde se guardan todos los registros de alarmas. El archivo pesa solo 17.8 MB, lo cual es muy liviano. Funciona perfectamente en cualquier nube.</w:t>
      </w:r>
    </w:p>
    <w:p>
      <w:pPr>
        <w:spacing w:after="60" w:before="60"/>
      </w:pPr>
      <w:r>
        <w:rPr>
          <w:b/>
          <w:bCs/>
          <w:color w:val="1A5276"/>
          <w:sz w:val="18"/>
          <w:szCs w:val="18"/>
        </w:rPr>
        <w:t xml:space="preserve">iVMS-4200: </w:t>
      </w:r>
      <w:r>
        <w:rPr>
          <w:sz w:val="17"/>
          <w:szCs w:val="17"/>
        </w:rPr>
        <w:t xml:space="preserve">Es el software de Hikvision para ver las cámaras de CCTV. Actualmente comparte el servidor con el Receptor IP. Recomendamos dejarlo en la oficina o migrarlo por separado para no mezclar funciones.</w:t>
      </w:r>
    </w:p>
    <w:p>
      <w:pPr>
        <w:spacing w:after="60" w:before="60"/>
      </w:pPr>
      <w:r>
        <w:rPr>
          <w:b/>
          <w:bCs/>
          <w:color w:val="1A5276"/>
          <w:sz w:val="18"/>
          <w:szCs w:val="18"/>
        </w:rPr>
        <w:t xml:space="preserve">Hardware ID: </w:t>
      </w:r>
      <w:r>
        <w:rPr>
          <w:sz w:val="17"/>
          <w:szCs w:val="17"/>
        </w:rPr>
        <w:t xml:space="preserve">Es como la 'huella digital' del equipo físico. La licencia del Receptor IP está amarrada a esta huella. Si se mueve el software a otro equipo (físico o virtual), la huella cambia y la licencia se bloquea. Hay que contactar a Intelbras ANTES de migrar.</w:t>
      </w:r>
    </w:p>
    <w:p>
      <w:pPr>
        <w:spacing w:after="60" w:before="60"/>
      </w:pPr>
      <w:r>
        <w:rPr>
          <w:b/>
          <w:bCs/>
          <w:color w:val="1A5276"/>
          <w:sz w:val="18"/>
          <w:szCs w:val="18"/>
        </w:rPr>
        <w:t xml:space="preserve">Snapshot: </w:t>
      </w:r>
      <w:r>
        <w:rPr>
          <w:sz w:val="17"/>
          <w:szCs w:val="17"/>
        </w:rPr>
        <w:t xml:space="preserve">Es una foto instantánea de todo el servidor virtual en un momento dado. Si algo sale mal, se puede restaurar el servidor completo en menos de 5 minutos a partir de esa foto.</w:t>
      </w:r>
    </w:p>
    <w:p>
      <w:pPr>
        <w:spacing w:after="60" w:before="60"/>
      </w:pPr>
      <w:r>
        <w:rPr>
          <w:b/>
          <w:bCs/>
          <w:color w:val="1A5276"/>
          <w:sz w:val="18"/>
          <w:szCs w:val="18"/>
        </w:rPr>
        <w:t xml:space="preserve">VM (Máquina Virtual): </w:t>
      </w:r>
      <w:r>
        <w:rPr>
          <w:sz w:val="17"/>
          <w:szCs w:val="17"/>
        </w:rPr>
        <w:t xml:space="preserve">Es un servidor que existe dentro de la nube, no como equipo físico. Funciona igual que un computador normal pero con la ventaja de que está protegido contra cortes de luz, fallas de disco y desastres físicos.</w:t>
      </w:r>
    </w:p>
    <w:p>
      <w:pPr>
        <w:spacing w:after="60" w:before="60"/>
      </w:pPr>
      <w:r>
        <w:rPr>
          <w:b/>
          <w:bCs/>
          <w:color w:val="1A5276"/>
          <w:sz w:val="18"/>
          <w:szCs w:val="18"/>
        </w:rPr>
        <w:t xml:space="preserve">Azure Hybrid Benefit: </w:t>
      </w:r>
      <w:r>
        <w:rPr>
          <w:sz w:val="17"/>
          <w:szCs w:val="17"/>
        </w:rPr>
        <w:t xml:space="preserve">Es un descuento exclusivo de Microsoft Azure. Si la empresa YA tiene licencias de Windows Server compradas con un contrato especial llamado 'Software Assurance', puede traerlas a Azure y ahorrar hasta un 50%. PERO Seguridad Alemana usa Windows 10 Pro (no Windows Server), por lo tanto este descuento NO aplica.</w:t>
      </w:r>
    </w:p>
    <w:p>
      <w:pPr>
        <w:spacing w:after="60" w:before="60"/>
      </w:pPr>
      <w:r>
        <w:rPr>
          <w:b/>
          <w:bCs/>
          <w:color w:val="1A5276"/>
          <w:sz w:val="18"/>
          <w:szCs w:val="18"/>
        </w:rPr>
        <w:t xml:space="preserve">Disaster Recovery (DR): </w:t>
      </w:r>
      <w:r>
        <w:rPr>
          <w:sz w:val="17"/>
          <w:szCs w:val="17"/>
        </w:rPr>
        <w:t xml:space="preserve">Es un plan para recuperar el sistema si ocurre una falla grave. Incluye copias de seguridad automáticas, procedimientos de restauración y tiempos máximos de caída tolerables. Actualmente Seguridad Alemana NO tiene ningún plan de DR.</w:t>
      </w:r>
    </w:p>
    <w:p>
      <w:r>
        <w:br w:type="page"/>
      </w:r>
    </w:p>
    <w:p>
      <w:pPr>
        <w:pBdr>
          <w:bottom w:val="single" w:color="2471A3" w:sz="8" w:space="4"/>
        </w:pBdr>
        <w:spacing w:after="120" w:before="340"/>
      </w:pPr>
      <w:r>
        <w:rPr>
          <w:rFonts w:ascii="Calibri" w:cs="Calibri" w:eastAsia="Calibri" w:hAnsi="Calibri"/>
          <w:b/>
          <w:bCs/>
          <w:color w:val="0B1C2E"/>
          <w:sz w:val="26"/>
          <w:szCs w:val="26"/>
        </w:rPr>
        <w:t xml:space="preserve">3. HALLAZGOS CRÍTICOS Y PLAN DE ACCIÓN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2400"/>
        <w:gridCol w:w="3960"/>
        <w:gridCol w:w="2600"/>
      </w:tblGrid>
      <w:tr>
        <w:trPr>
          <w:tblHeader/>
        </w:trPr>
        <w:tc>
          <w:tcPr>
            <w:tcW w:type="dxa" w:w="4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
            </w:r>
          </w:p>
        </w:tc>
        <w:tc>
          <w:tcPr>
            <w:tcW w:type="dxa" w:w="24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Hallazgo</w:t>
            </w:r>
          </w:p>
        </w:tc>
        <w:tc>
          <w:tcPr>
            <w:tcW w:type="dxa" w:w="39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Detalle</w:t>
            </w:r>
          </w:p>
        </w:tc>
        <w:tc>
          <w:tcPr>
            <w:tcW w:type="dxa" w:w="26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Acción Prioritaria</w:t>
            </w:r>
          </w:p>
        </w:tc>
      </w:tr>
      <w:tr>
        <w:tc>
          <w:tcPr>
            <w:tcW w:type="dxa" w:w="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w:t>
            </w:r>
          </w:p>
        </w:tc>
        <w:tc>
          <w:tcPr>
            <w:tcW w:type="dxa" w:w="2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Licencia amarrada al hardware</w:t>
            </w:r>
          </w:p>
        </w:tc>
        <w:tc>
          <w:tcPr>
            <w:tcW w:type="dxa" w:w="39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La versión 3.x del Receptor IP usa el Hardware ID del equipo actual. Al mover a una VM en la nube, ese Hardware ID cambia automáticamente y la licencia se bloquea.</w:t>
            </w:r>
          </w:p>
        </w:tc>
        <w:tc>
          <w:tcPr>
            <w:tcW w:type="dxa" w:w="26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7B241C"/>
                <w:sz w:val="14"/>
                <w:szCs w:val="14"/>
              </w:rPr>
              <w:t xml:space="preserve">Contactar a Intelbras soporte ANTES de apagar el servidor actual. Solicitar la transferencia de la licencia al nuevo Hardware ID de la VM.</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Sin backups en producción</w:t>
            </w:r>
          </w:p>
        </w:tc>
        <w:tc>
          <w:tcPr>
            <w:tcW w:type="dxa" w:w="39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No se encontró ningún archivo de respaldo (.fbk) de la base de datos Firebird. Si el disco del servidor actual falla hoy, se pierde toda la información de paneles.</w:t>
            </w:r>
          </w:p>
        </w:tc>
        <w:tc>
          <w:tcPr>
            <w:tcW w:type="dxa" w:w="26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7B241C"/>
                <w:sz w:val="14"/>
                <w:szCs w:val="14"/>
              </w:rPr>
              <w:t xml:space="preserve">Realizar backup manual inmediato de RECEPTORIP.FDB. Ruta: C:\...\DADOS\RECEPTORIP.FDB (17.8 MB).</w:t>
            </w:r>
          </w:p>
        </w:tc>
      </w:tr>
      <w:tr>
        <w:tc>
          <w:tcPr>
            <w:tcW w:type="dxa" w:w="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w:t>
            </w:r>
          </w:p>
        </w:tc>
        <w:tc>
          <w:tcPr>
            <w:tcW w:type="dxa" w:w="2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2.260+ conexiones fantasma</w:t>
            </w:r>
          </w:p>
        </w:tc>
        <w:tc>
          <w:tcPr>
            <w:tcW w:type="dxa" w:w="39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El puerto 4002 (ForwarderORS) recibe tráfico masivo HTTP desde una IP de AWS en Virginia (3.221.68.191). No son paneles reales — son bots o un servicio que bombardea el puerto de logs.</w:t>
            </w:r>
          </w:p>
        </w:tc>
        <w:tc>
          <w:tcPr>
            <w:tcW w:type="dxa" w:w="26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E6251"/>
                <w:sz w:val="14"/>
                <w:szCs w:val="14"/>
              </w:rPr>
              <w:t xml:space="preserve">En GCP, el firewall bloquea esto automáticamente. No requiere acción manual — se resuelve con la migración.</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iVMS-4200 comparte el servidor</w:t>
            </w:r>
          </w:p>
        </w:tc>
        <w:tc>
          <w:tcPr>
            <w:tcW w:type="dxa" w:w="39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El software de CCTV de Hikvision, junto con Nginx y PostgreSQL, corre en el mismo equipo que el Receptor IP. Esto mezcla funciones críticas.</w:t>
            </w:r>
          </w:p>
        </w:tc>
        <w:tc>
          <w:tcPr>
            <w:tcW w:type="dxa" w:w="26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E6251"/>
                <w:sz w:val="14"/>
                <w:szCs w:val="14"/>
              </w:rPr>
              <w:t xml:space="preserve">Recomendamos mantener iVMS local por ahora. Migrarlo sumaría ~30% al costo de la VM sin beneficio operativo para las alarmas.</w:t>
            </w:r>
          </w:p>
        </w:tc>
      </w:tr>
      <w:tr>
        <w:tc>
          <w:tcPr>
            <w:tcW w:type="dxa" w:w="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w:t>
            </w:r>
          </w:p>
        </w:tc>
        <w:tc>
          <w:tcPr>
            <w:tcW w:type="dxa" w:w="2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Solo 16 paneles reales</w:t>
            </w:r>
          </w:p>
        </w:tc>
        <w:tc>
          <w:tcPr>
            <w:tcW w:type="dxa" w:w="39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La auditoría confirmó que las 2.260 conexiones son tráfico basura. Los paneles reales son 16. Esto permite usar una VM mucho más pequeña y económica.</w:t>
            </w:r>
          </w:p>
        </w:tc>
        <w:tc>
          <w:tcPr>
            <w:tcW w:type="dxa" w:w="26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E6251"/>
                <w:sz w:val="14"/>
                <w:szCs w:val="14"/>
              </w:rPr>
              <w:t xml:space="preserve">La VM recomendada (2 vCPU / 4 GB RAM) es más que suficiente. Costo: ~$335.000 COP/mes, no los $600.000+ de estimaciones previas.</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6"/>
                <w:szCs w:val="16"/>
              </w:rPr>
              <w:t xml:space="preserve">Migración simplificada por Intelbras Cloud</w:t>
            </w:r>
          </w:p>
        </w:tc>
        <w:tc>
          <w:tcPr>
            <w:tcW w:type="dxa" w:w="39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Los paneles no apuntan a la IP de la oficina — apuntan a Intelbras Cloud. Solo hay que cambiar el destino UNA vez en el portal web de Intelbras.</w:t>
            </w:r>
          </w:p>
        </w:tc>
        <w:tc>
          <w:tcPr>
            <w:tcW w:type="dxa" w:w="26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E6251"/>
                <w:sz w:val="14"/>
                <w:szCs w:val="14"/>
              </w:rPr>
              <w:t xml:space="preserve">No hay que ir panel por panel. Un solo cambio en el portal de Intelbras migra los 16 paneles al nuevo servidor.</w:t>
            </w:r>
          </w:p>
        </w:tc>
      </w:tr>
    </w:tbl>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7B241C" w:sz="16"/>
              <w:bottom w:val="none" w:color="FFFFFF" w:sz="0"/>
              <w:right w:val="none" w:color="FFFFFF" w:sz="0"/>
            </w:tcBorders>
            <w:shd w:fill="FADBD8" w:val="clear"/>
            <w:tcMar>
              <w:top w:type="dxa" w:w="120"/>
              <w:left w:type="dxa" w:w="200"/>
              <w:bottom w:type="dxa" w:w="120"/>
              <w:right w:type="dxa" w:w="200"/>
            </w:tcMar>
          </w:tcPr>
          <w:p>
            <w:pPr>
              <w:spacing w:after="50" w:before="0"/>
            </w:pPr>
            <w:r>
              <w:rPr>
                <w:rFonts w:ascii="Calibri" w:cs="Calibri" w:eastAsia="Calibri" w:hAnsi="Calibri"/>
                <w:b/>
                <w:bCs/>
                <w:color w:val="7B241C"/>
                <w:sz w:val="18"/>
                <w:szCs w:val="18"/>
              </w:rPr>
              <w:t xml:space="preserve">🔴  URGENTE:</w:t>
            </w:r>
          </w:p>
          <w:p>
            <w:pPr>
              <w:spacing w:after="0" w:before="0"/>
            </w:pPr>
            <w:r>
              <w:rPr>
                <w:rFonts w:ascii="Calibri" w:cs="Calibri" w:eastAsia="Calibri" w:hAnsi="Calibri"/>
                <w:color w:val="7B241C"/>
                <w:sz w:val="17"/>
                <w:szCs w:val="17"/>
              </w:rPr>
              <w:t xml:space="preserve">Se debe contactar a Intelbras para la transferencia de licencia antes de cualquier movimiento. Sin esto, el sistema se bloquea.</w:t>
            </w:r>
          </w:p>
        </w:tc>
      </w:tr>
    </w:tbl>
    <w:p>
      <w:r>
        <w:br w:type="page"/>
      </w:r>
    </w:p>
    <w:p>
      <w:pPr>
        <w:pBdr>
          <w:bottom w:val="single" w:color="2471A3" w:sz="8" w:space="4"/>
        </w:pBdr>
        <w:spacing w:after="120" w:before="340"/>
      </w:pPr>
      <w:r>
        <w:rPr>
          <w:rFonts w:ascii="Calibri" w:cs="Calibri" w:eastAsia="Calibri" w:hAnsi="Calibri"/>
          <w:b/>
          <w:bCs/>
          <w:color w:val="0B1C2E"/>
          <w:sz w:val="26"/>
          <w:szCs w:val="26"/>
        </w:rPr>
        <w:t xml:space="preserve">4. OSR: EL CEREBRO OPERATIVO DE LA CENTRAL</w:t>
      </w:r>
    </w:p>
    <w:p>
      <w:pPr>
        <w:spacing w:after="80" w:before="80"/>
        <w:jc w:val="left"/>
      </w:pPr>
      <w:r>
        <w:rPr>
          <w:rFonts w:ascii="Calibri" w:cs="Calibri" w:eastAsia="Calibri" w:hAnsi="Calibri"/>
          <w:b w:val="false"/>
          <w:bCs w:val="false"/>
          <w:color w:val="0D0D0D"/>
          <w:sz w:val="20"/>
          <w:szCs w:val="20"/>
        </w:rPr>
        <w:t xml:space="preserve">OSR (también conocido como ORS / Orbitand) es la plataforma de monitoreo multimarca que permite a Seguridad Alemana recibir y gestionar señales de alarma de CUALQUIER fabricante (Intelbras, DSC, Ajax, Honeywell, Paradox, etc.) usando protocolos estándar como Contact ID y SIA. Es el software donde los operadores ven los eventos en pantalla, ejecutan los protocolos de seguridad y gestionan a cada cliente. ForwarderORS es el puente que conecta el Receptor IP de Intelbras con esta plataforma central.</w:t>
      </w:r>
    </w:p>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360"/>
        <w:gridCol w:w="1800"/>
        <w:gridCol w:w="2200"/>
      </w:tblGrid>
      <w:tr>
        <w:trPr>
          <w:tblHeader/>
        </w:trPr>
        <w:tc>
          <w:tcPr>
            <w:tcW w:type="dxa" w:w="20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Componente</w:t>
            </w:r>
          </w:p>
        </w:tc>
        <w:tc>
          <w:tcPr>
            <w:tcW w:type="dxa" w:w="33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Función</w:t>
            </w:r>
          </w:p>
        </w:tc>
        <w:tc>
          <w:tcPr>
            <w:tcW w:type="dxa" w:w="18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Puerto</w:t>
            </w:r>
          </w:p>
        </w:tc>
        <w:tc>
          <w:tcPr>
            <w:tcW w:type="dxa" w:w="22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Criticidad</w:t>
            </w:r>
          </w:p>
        </w:tc>
      </w:tr>
      <w:tr>
        <w:tc>
          <w:tcPr>
            <w:tcW w:type="dxa" w:w="2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Receptor IP Intelbras</w:t>
            </w:r>
          </w:p>
        </w:tc>
        <w:tc>
          <w:tcPr>
            <w:tcW w:type="dxa" w:w="3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Recibe señales de paneles Intelbras vía Intelbras Cloud</w:t>
            </w:r>
          </w:p>
        </w:tc>
        <w:tc>
          <w:tcPr>
            <w:tcW w:type="dxa" w:w="18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TCP 9009</w:t>
            </w:r>
          </w:p>
        </w:tc>
        <w:tc>
          <w:tcPr>
            <w:tcW w:type="dxa" w:w="22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 CRÍTICO</w:t>
            </w:r>
          </w:p>
        </w:tc>
      </w:tr>
      <w:tr>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ForwarderORS</w:t>
            </w:r>
          </w:p>
        </w:tc>
        <w:tc>
          <w:tcPr>
            <w:tcW w:type="dxa" w:w="3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Reenvía eventos del Receptor IP → OSR/ORS</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TCP 9050 (local)</w:t>
            </w:r>
          </w:p>
        </w:tc>
        <w:tc>
          <w:tcPr>
            <w:tcW w:type="dxa" w:w="22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 IMPORTANTE</w:t>
            </w:r>
          </w:p>
        </w:tc>
      </w:tr>
      <w:tr>
        <w:tc>
          <w:tcPr>
            <w:tcW w:type="dxa" w:w="2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OSR/ORS (Orbitand)</w:t>
            </w:r>
          </w:p>
        </w:tc>
        <w:tc>
          <w:tcPr>
            <w:tcW w:type="dxa" w:w="3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Plataforma central de monitoreo multimarca — cerebro operacional</w:t>
            </w:r>
          </w:p>
        </w:tc>
        <w:tc>
          <w:tcPr>
            <w:tcW w:type="dxa" w:w="18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Web / API</w:t>
            </w:r>
          </w:p>
        </w:tc>
        <w:tc>
          <w:tcPr>
            <w:tcW w:type="dxa" w:w="22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 CRÍTICO</w:t>
            </w:r>
          </w:p>
        </w:tc>
      </w:tr>
      <w:tr>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Firebird 2.5</w:t>
            </w:r>
          </w:p>
        </w:tc>
        <w:tc>
          <w:tcPr>
            <w:tcW w:type="dxa" w:w="3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Base de datos de eventos y configuración del Receptor IP</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TCP 3050</w:t>
            </w:r>
          </w:p>
        </w:tc>
        <w:tc>
          <w:tcPr>
            <w:tcW w:type="dxa" w:w="22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 IMPORTANTE</w:t>
            </w:r>
          </w:p>
        </w:tc>
      </w:tr>
      <w:tr>
        <w:tc>
          <w:tcPr>
            <w:tcW w:type="dxa" w:w="2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iVMS-4200</w:t>
            </w:r>
          </w:p>
        </w:tc>
        <w:tc>
          <w:tcPr>
            <w:tcW w:type="dxa" w:w="3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Gestión de cámaras CCTV Hikvision (independiente)</w:t>
            </w:r>
          </w:p>
        </w:tc>
        <w:tc>
          <w:tcPr>
            <w:tcW w:type="dxa" w:w="18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HTTP/RTSP</w:t>
            </w:r>
          </w:p>
        </w:tc>
        <w:tc>
          <w:tcPr>
            <w:tcW w:type="dxa" w:w="22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 Separable</w:t>
            </w:r>
          </w:p>
        </w:tc>
      </w:tr>
    </w:tbl>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E6251" w:sz="16"/>
              <w:bottom w:val="none" w:color="FFFFFF" w:sz="0"/>
              <w:right w:val="none" w:color="FFFFFF" w:sz="0"/>
            </w:tcBorders>
            <w:shd w:fill="D1F2EB" w:val="clear"/>
            <w:tcMar>
              <w:top w:type="dxa" w:w="120"/>
              <w:left w:type="dxa" w:w="200"/>
              <w:bottom w:type="dxa" w:w="120"/>
              <w:right w:type="dxa" w:w="200"/>
            </w:tcMar>
          </w:tcPr>
          <w:p>
            <w:pPr>
              <w:spacing w:after="50" w:before="0"/>
            </w:pPr>
            <w:r>
              <w:rPr>
                <w:rFonts w:ascii="Calibri" w:cs="Calibri" w:eastAsia="Calibri" w:hAnsi="Calibri"/>
                <w:b/>
                <w:bCs/>
                <w:color w:val="0E6251"/>
                <w:sz w:val="18"/>
                <w:szCs w:val="18"/>
              </w:rPr>
              <w:t xml:space="preserve">ℹ  Ventaja clave de OSR:</w:t>
            </w:r>
          </w:p>
          <w:p>
            <w:pPr>
              <w:spacing w:after="0" w:before="0"/>
            </w:pPr>
            <w:r>
              <w:rPr>
                <w:rFonts w:ascii="Calibri" w:cs="Calibri" w:eastAsia="Calibri" w:hAnsi="Calibri"/>
                <w:color w:val="0E6251"/>
                <w:sz w:val="17"/>
                <w:szCs w:val="17"/>
              </w:rPr>
              <w:t xml:space="preserve">La ventaja clave de OSR/ORS es que permite monitorear paneles de MÚLTIPLES marcas desde UNA sola plataforma. Esto significa que si Seguridad Alemana agrega clientes con paneles DSC, Ajax o Honeywell en el futuro, NO necesita instalar un receptor diferente para cada marca — OSR los unifica todos. ForwarderORS actúa como el 'traductor' que conecta cada receptor de marca específica (como el Receptor IP de Intelbras) con la plataforma central.</w:t>
            </w:r>
          </w:p>
        </w:tc>
      </w:tr>
    </w:tbl>
    <w:p>
      <w:pPr>
        <w:spacing w:after="0" w:before="110"/>
      </w:pPr>
      <w:r>
        <w:t xml:space="preserve"/>
      </w:r>
    </w:p>
    <w:p>
      <w:pPr>
        <w:pBdr>
          <w:bottom w:val="single" w:color="2471A3" w:sz="8" w:space="4"/>
        </w:pBdr>
        <w:spacing w:after="120" w:before="340"/>
      </w:pPr>
      <w:r>
        <w:rPr>
          <w:rFonts w:ascii="Calibri" w:cs="Calibri" w:eastAsia="Calibri" w:hAnsi="Calibri"/>
          <w:b/>
          <w:bCs/>
          <w:color w:val="0B1C2E"/>
          <w:sz w:val="26"/>
          <w:szCs w:val="26"/>
        </w:rPr>
        <w:t xml:space="preserve">5. DISASTER RECOVERY: ESTRATEGIA PARA FIREBIRD</w:t>
      </w:r>
    </w:p>
    <w:p>
      <w:pPr>
        <w:spacing w:after="80" w:before="80"/>
        <w:jc w:val="left"/>
      </w:pPr>
      <w:r>
        <w:rPr>
          <w:rFonts w:ascii="Calibri" w:cs="Calibri" w:eastAsia="Calibri" w:hAnsi="Calibri"/>
          <w:b w:val="false"/>
          <w:bCs w:val="false"/>
          <w:color w:val="0D0D0D"/>
          <w:sz w:val="20"/>
          <w:szCs w:val="20"/>
        </w:rPr>
        <w:t xml:space="preserve">ESTRATEGIA DE DISASTER RECOVERY PARA FIREBIRD 2.5: La base de datos del Receptor IP (RECEPTORIP.FDB, 17.8 MB) usa Firebird 2.5.4. NUNCA se debe copiar el archivo .fdb mientras está en uso — causa corrupción. Se debe usar la herramienta oficial 'gbak' para backups consistentes. PLAN RECOMENDADO: 1) Backup automático diario con gbak (tarea programada en Windows). 2) Snapshot completo de la VM cada noche (protege TODO el servidor). 3) Copia del .fbk a un bucket de almacenamiento en otra región (São Paulo → Chile). 4) Prueba de restauración mensual para verificar integridad. TIEMPO DE RECUPERACIÓN: &lt;5 minutos restaurando un snapshot completo, o &lt;15 minutos restaurando solo la BD con gbak.</w:t>
      </w:r>
    </w:p>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7D6608" w:sz="16"/>
              <w:bottom w:val="none" w:color="FFFFFF" w:sz="0"/>
              <w:right w:val="none" w:color="FFFFFF" w:sz="0"/>
            </w:tcBorders>
            <w:shd w:fill="FEF9E7" w:val="clear"/>
            <w:tcMar>
              <w:top w:type="dxa" w:w="120"/>
              <w:left w:type="dxa" w:w="200"/>
              <w:bottom w:type="dxa" w:w="120"/>
              <w:right w:type="dxa" w:w="200"/>
            </w:tcMar>
          </w:tcPr>
          <w:p>
            <w:pPr>
              <w:spacing w:after="50" w:before="0"/>
            </w:pPr>
            <w:r>
              <w:rPr>
                <w:rFonts w:ascii="Calibri" w:cs="Calibri" w:eastAsia="Calibri" w:hAnsi="Calibri"/>
                <w:b/>
                <w:bCs/>
                <w:color w:val="7D6608"/>
                <w:sz w:val="18"/>
                <w:szCs w:val="18"/>
              </w:rPr>
              <w:t xml:space="preserve">⚠  NUNCA copiar el archivo .fdb directamente:</w:t>
            </w:r>
          </w:p>
          <w:p>
            <w:pPr>
              <w:spacing w:after="0" w:before="0"/>
            </w:pPr>
            <w:r>
              <w:rPr>
                <w:rFonts w:ascii="Calibri" w:cs="Calibri" w:eastAsia="Calibri" w:hAnsi="Calibri"/>
                <w:color w:val="7D6608"/>
                <w:sz w:val="17"/>
                <w:szCs w:val="17"/>
              </w:rPr>
              <w:t xml:space="preserve">Copiar RECEPTORIP.FDB mientras está en uso causa corrupción. Siempre usar la herramienta oficial 'gbak' para backups seguros.</w:t>
            </w:r>
          </w:p>
        </w:tc>
      </w:tr>
    </w:tbl>
    <w:p>
      <w:r>
        <w:br w:type="page"/>
      </w:r>
    </w:p>
    <w:p>
      <w:pPr>
        <w:pBdr>
          <w:bottom w:val="single" w:color="2471A3" w:sz="8" w:space="4"/>
        </w:pBdr>
        <w:spacing w:after="120" w:before="340"/>
      </w:pPr>
      <w:r>
        <w:rPr>
          <w:rFonts w:ascii="Calibri" w:cs="Calibri" w:eastAsia="Calibri" w:hAnsi="Calibri"/>
          <w:b/>
          <w:bCs/>
          <w:color w:val="0B1C2E"/>
          <w:sz w:val="26"/>
          <w:szCs w:val="26"/>
        </w:rPr>
        <w:t xml:space="preserve">6. COMPARATIVA: WINDOWS SERVER Y BENEFICIOS</w:t>
      </w:r>
    </w:p>
    <w:p>
      <w:pPr>
        <w:spacing w:after="80" w:before="80"/>
        <w:jc w:val="left"/>
      </w:pPr>
      <w:r>
        <w:rPr>
          <w:rFonts w:ascii="Calibri" w:cs="Calibri" w:eastAsia="Calibri" w:hAnsi="Calibri"/>
          <w:b w:val="false"/>
          <w:bCs w:val="false"/>
          <w:color w:val="0D0D0D"/>
          <w:sz w:val="20"/>
          <w:szCs w:val="20"/>
        </w:rPr>
        <w:t xml:space="preserve">Seguridad Alemana usa Windows 10 Pro en su servidor actual. En la nube, se debe usar Windows Server (versión profesional para servidores). TODAS las nubes incluyen la licencia de Windows Server en el precio de la VM — no hay que comprarla aparte. La diferencia está en cuánto cobra cada una.</w:t>
      </w:r>
    </w:p>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60"/>
        <w:gridCol w:w="1650"/>
        <w:gridCol w:w="1650"/>
        <w:gridCol w:w="1650"/>
        <w:gridCol w:w="1650"/>
      </w:tblGrid>
      <w:tr>
        <w:trPr>
          <w:tblHeader/>
        </w:trPr>
        <w:tc>
          <w:tcPr>
            <w:tcW w:type="dxa" w:w="27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Concepto</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Azure</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AWS</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GCP</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Vultr</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¿Windows Server incluido?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Sí</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Sí</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1A5276"/>
                <w:sz w:val="15"/>
                <w:szCs w:val="15"/>
              </w:rPr>
              <w:t xml:space="preserve">Sí</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Sí</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Costo VM 2vCPU/4GB
con Windows/mes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~$55 USD
~$237.000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~$70 USD
~$301.000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1A5276"/>
                <w:sz w:val="15"/>
                <w:szCs w:val="15"/>
              </w:rPr>
              <w:t xml:space="preserve">~$58 USD
~$249.000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~$52 USD
~$224.000 COP</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Con descuento 1 año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~$36 USD
~$155.000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~$50 USD
~$215.000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1A5276"/>
                <w:sz w:val="15"/>
                <w:szCs w:val="15"/>
              </w:rPr>
              <w:t xml:space="preserve">~$38 USD
~$163.000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No aplica</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Con Hybrid Benefit</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~$22 USD
~$95.000 COP
(SI tuviera licencias SA)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No aplica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1A5276"/>
                <w:sz w:val="15"/>
                <w:szCs w:val="15"/>
              </w:rPr>
              <w:t xml:space="preserve">No aplica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5"/>
                <w:szCs w:val="15"/>
              </w:rPr>
              <w:t xml:space="preserve">No aplica</w:t>
            </w:r>
          </w:p>
        </w:tc>
      </w:tr>
    </w:tbl>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5276" w:sz="16"/>
              <w:bottom w:val="none" w:color="FFFFFF" w:sz="0"/>
              <w:right w:val="none" w:color="FFFFFF" w:sz="0"/>
            </w:tcBorders>
            <w:shd w:fill="EBF5FB" w:val="clear"/>
            <w:tcMar>
              <w:top w:type="dxa" w:w="120"/>
              <w:left w:type="dxa" w:w="200"/>
              <w:bottom w:type="dxa" w:w="120"/>
              <w:right w:type="dxa" w:w="200"/>
            </w:tcMar>
          </w:tcPr>
          <w:p>
            <w:pPr>
              <w:spacing w:after="50" w:before="0"/>
            </w:pPr>
            <w:r>
              <w:rPr>
                <w:rFonts w:ascii="Calibri" w:cs="Calibri" w:eastAsia="Calibri" w:hAnsi="Calibri"/>
                <w:b/>
                <w:bCs/>
                <w:color w:val="1A5276"/>
                <w:sz w:val="18"/>
                <w:szCs w:val="18"/>
              </w:rPr>
              <w:t xml:space="preserve">ℹ  Sobre Azure Hybrid Benefit:</w:t>
            </w:r>
          </w:p>
          <w:p>
            <w:pPr>
              <w:spacing w:after="0" w:before="0"/>
            </w:pPr>
            <w:r>
              <w:rPr>
                <w:rFonts w:ascii="Calibri" w:cs="Calibri" w:eastAsia="Calibri" w:hAnsi="Calibri"/>
                <w:color w:val="1A5276"/>
                <w:sz w:val="17"/>
                <w:szCs w:val="17"/>
              </w:rPr>
              <w:t xml:space="preserve">Azure Hybrid Benefit es un descuento exclusivo de Microsoft Azure. Funciona así: si su empresa YA tiene licencias de Windows Server (Standard o Datacenter) compradas con un contrato de Software Assurance (SA), puede 'traer' esas licencias a Azure y el costo de la VM baja al precio de Linux (ahorro de 36% a 80%). REQUISITOS: 1) Tener licencias Windows Server con SA activo. 2) Asignar los cores de licencia correspondientes al tamaño de la VM. 3) Si el SA expira, debe renovarlo o desactivar el beneficio. VEREDICTO PARA SEGURIDAD ALEMANA: Actualmente usan Windows 10 Pro (NO Windows Server con SA). Por lo tanto, este beneficio NO aplica y Azure pierde su ventaja competitiva. Si en el futuro adquieren licencias Windows Server con SA, Azure se convertiría en la opción más económica (~$22 USD/mes).</w:t>
            </w:r>
          </w:p>
        </w:tc>
      </w:tr>
    </w:tbl>
    <w:p>
      <w:pPr>
        <w:pBdr>
          <w:bottom w:val="single" w:color="2471A3" w:sz="8" w:space="4"/>
        </w:pBdr>
        <w:spacing w:after="120" w:before="340"/>
      </w:pPr>
      <w:r>
        <w:rPr>
          <w:rFonts w:ascii="Calibri" w:cs="Calibri" w:eastAsia="Calibri" w:hAnsi="Calibri"/>
          <w:b/>
          <w:bCs/>
          <w:color w:val="0B1C2E"/>
          <w:sz w:val="26"/>
          <w:szCs w:val="26"/>
        </w:rPr>
        <w:t xml:space="preserve">7. INFRAESTRUCTURA Y LATENCIA</w:t>
      </w:r>
    </w:p>
    <w:p>
      <w:pPr>
        <w:spacing w:after="80" w:before="80"/>
        <w:jc w:val="left"/>
      </w:pPr>
      <w:r>
        <w:rPr>
          <w:rFonts w:ascii="Calibri" w:cs="Calibri" w:eastAsia="Calibri" w:hAnsi="Calibri"/>
          <w:b w:val="false"/>
          <w:bCs w:val="false"/>
          <w:color w:val="0D0D0D"/>
          <w:sz w:val="20"/>
          <w:szCs w:val="20"/>
        </w:rPr>
        <w:t xml:space="preserve">La latencia es el tiempo que tarda una señal en viajar desde un punto A a un punto B. Para alarmas, una latencia alta puede causar que el panel piense que el servidor no respondió y reintente la conexión, generando falsos eventos o pérdida de señales. NOTA IMPORTANTE: Se ha mencionado que AWS tiene una 'Local Zone' en Bogotá con latencia menor a 10ms. Esto es INCORRECTO. Verificamos directamente con AWS: la Local Zone de Bogotá fue anunciada en 2022 pero NUNCA se activó. A mayo de 2026 sigue en estado 'Anunciada' sin fecha de activación.</w:t>
      </w:r>
    </w:p>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60"/>
        <w:gridCol w:w="1650"/>
        <w:gridCol w:w="1650"/>
        <w:gridCol w:w="1650"/>
        <w:gridCol w:w="1650"/>
      </w:tblGrid>
      <w:tr>
        <w:trPr>
          <w:tblHeader/>
        </w:trPr>
        <w:tc>
          <w:tcPr>
            <w:tcW w:type="dxa" w:w="27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Concepto</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Azure</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AWS</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GCP</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Vultr</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Datacenter más cercano
a Colombia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São Paulo
Brasil</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São Paulo
Brasil</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São Paulo
Brasil</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Miami
Estados Unidos</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Latencia promedio
desde Bogotá</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110–135 ms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110–135 ms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110–135 ms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2471A3"/>
                <w:sz w:val="14"/>
                <w:szCs w:val="14"/>
              </w:rPr>
              <w:t xml:space="preserve">40–65 ms</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¿Afecta a los paneles
de alarma?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directamente.
Los paneles apuntan a
Intelbras Cloud,
no al servidor.</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directamente.
Mismo motivo.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directamente.
Mismo motivo.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directamente.
Mismo motivo.</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¿Afecta la operación
del Receptor IP?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Impacto mínimo.
El Receptor solo
procesa eventos
reenviados.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Impacto mínimo.
Mismo motivo.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Impacto mínimo.
Mismo motivo.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Menor latencia
pero sin HA.</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Dato clave</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Los paneles NO apuntan a la IP del servidor. Apuntan a Intelbras Cloud. La latencia entre São Paulo y Bogotá NO afecta directamente la recepción de alarmas.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w:r>
          </w:p>
        </w:tc>
      </w:tr>
    </w:tbl>
    <w:p>
      <w:r>
        <w:br w:type="page"/>
      </w:r>
    </w:p>
    <w:p>
      <w:pPr>
        <w:pBdr>
          <w:bottom w:val="single" w:color="2471A3" w:sz="8" w:space="4"/>
        </w:pBdr>
        <w:spacing w:after="120" w:before="340"/>
      </w:pPr>
      <w:r>
        <w:rPr>
          <w:rFonts w:ascii="Calibri" w:cs="Calibri" w:eastAsia="Calibri" w:hAnsi="Calibri"/>
          <w:b/>
          <w:bCs/>
          <w:color w:val="0B1C2E"/>
          <w:sz w:val="26"/>
          <w:szCs w:val="26"/>
        </w:rPr>
        <w:t xml:space="preserve">8. COSTOS MENSUALES COMPARADOS (VERIFICADOS MAYO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60"/>
        <w:gridCol w:w="1650"/>
        <w:gridCol w:w="1650"/>
        <w:gridCol w:w="1650"/>
        <w:gridCol w:w="1650"/>
      </w:tblGrid>
      <w:tr>
        <w:trPr>
          <w:tblHeader/>
        </w:trPr>
        <w:tc>
          <w:tcPr>
            <w:tcW w:type="dxa" w:w="27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Recurso</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Azure
(Brazil South)</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AWS
(São Paulo)</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GCP
(São Paulo)</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Vultr
(Miami)</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VM Windows
2vCPU/4GB/mes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~$55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~$70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~$58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~$52 USD</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Disco SSD 50GB</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~$9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~$8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~$9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~$5 USD</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IP estática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~$7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~$4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~$7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~$3 USD</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Snapshots 30 días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~$6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~$5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~$3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~$10 USD</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Tráfico saliente</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~$5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~$5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~$3 USD</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~$0 (1TB
gratis)</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TOTAL pay-as-you-go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~$82 USD
~$353.000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~$92 USD
~$396.000 COP</w:t>
            </w:r>
          </w:p>
        </w:tc>
        <w:tc>
          <w:tcPr>
            <w:tcW w:type="dxa" w:w="1650"/>
            <w:tcBorders>
              <w:top w:val="single" w:color="CDD3DB" w:sz="1"/>
              <w:left w:val="single" w:color="CDD3DB" w:sz="1"/>
              <w:bottom w:val="single" w:color="CDD3DB" w:sz="1"/>
              <w:right w:val="single" w:color="CDD3DB" w:sz="1"/>
            </w:tcBorders>
            <w:shd w:fill="D1F2EB"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~$80 USD
~$344.000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~$70 USD
~$301.000 COP</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TOTAL con descuento
1 año</w:t>
            </w:r>
          </w:p>
        </w:tc>
        <w:tc>
          <w:tcPr>
            <w:tcW w:type="dxa" w:w="1650"/>
            <w:tcBorders>
              <w:top w:val="single" w:color="CDD3DB" w:sz="1"/>
              <w:left w:val="single" w:color="CDD3DB" w:sz="1"/>
              <w:bottom w:val="single" w:color="CDD3DB" w:sz="1"/>
              <w:right w:val="single" w:color="CDD3DB" w:sz="1"/>
            </w:tcBorders>
            <w:shd w:fill="EBF5FB"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~$59 USD
~$254.000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~$72 USD
~$310.000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~$60 USD
~$258.000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aplica</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Con Hybrid Benefit
(si aplica)</w:t>
            </w:r>
          </w:p>
        </w:tc>
        <w:tc>
          <w:tcPr>
            <w:tcW w:type="dxa" w:w="1650"/>
            <w:tcBorders>
              <w:top w:val="single" w:color="CDD3DB" w:sz="1"/>
              <w:left w:val="single" w:color="CDD3DB" w:sz="1"/>
              <w:bottom w:val="single" w:color="CDD3DB" w:sz="1"/>
              <w:right w:val="single" w:color="CDD3DB" w:sz="1"/>
            </w:tcBorders>
            <w:shd w:fill="EBF5FB"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~$39 USD
~$168.000 COP</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aplica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aplica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aplica</w:t>
            </w:r>
          </w:p>
        </w:tc>
      </w:tr>
    </w:tbl>
    <w:p>
      <w:pPr>
        <w:pBdr>
          <w:bottom w:val="single" w:color="2471A3" w:sz="8" w:space="4"/>
        </w:pBdr>
        <w:spacing w:after="120" w:before="340"/>
      </w:pPr>
      <w:r>
        <w:rPr>
          <w:rFonts w:ascii="Calibri" w:cs="Calibri" w:eastAsia="Calibri" w:hAnsi="Calibri"/>
          <w:b/>
          <w:bCs/>
          <w:color w:val="0B1C2E"/>
          <w:sz w:val="26"/>
          <w:szCs w:val="26"/>
        </w:rPr>
        <w:t xml:space="preserve">9. OPERACIÓN Y RESILIENCIA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60"/>
        <w:gridCol w:w="1650"/>
        <w:gridCol w:w="1650"/>
        <w:gridCol w:w="1650"/>
        <w:gridCol w:w="1650"/>
      </w:tblGrid>
      <w:tr>
        <w:trPr>
          <w:tblHeader/>
        </w:trPr>
        <w:tc>
          <w:tcPr>
            <w:tcW w:type="dxa" w:w="27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Característica</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Azure</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AWS</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GCP</w:t>
            </w:r>
          </w:p>
        </w:tc>
        <w:tc>
          <w:tcPr>
            <w:tcW w:type="dxa" w:w="165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Vultr</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Snapshots
automáticos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Azure Backup
gestionado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AWS Backup
gestionado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Snapshot
policies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+20% del
costo VM</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Firewall
granular</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NSG
muy detallado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Security
Groups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Firewall
rules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Básico</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Monitoreo
y alertas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Azure Monitor
completo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CloudWatch
completo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Cloud
Monitoring</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Muy
básico</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Facilidad
de consola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Compleja,
muchos menús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Muy compleja,
curva alta</w:t>
            </w:r>
          </w:p>
        </w:tc>
        <w:tc>
          <w:tcPr>
            <w:tcW w:type="dxa" w:w="1650"/>
            <w:tcBorders>
              <w:top w:val="single" w:color="CDD3DB" w:sz="1"/>
              <w:left w:val="single" w:color="CDD3DB" w:sz="1"/>
              <w:bottom w:val="single" w:color="CDD3DB" w:sz="1"/>
              <w:right w:val="single" w:color="CDD3DB" w:sz="1"/>
            </w:tcBorders>
            <w:shd w:fill="D1F2EB"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La más
intuitiva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Muy simple</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VPN híbrida
(oficina↔nube)</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VPN Gateway
nativa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Site-to-Site
VPN</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Cloud VPN
fácil</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Manual
(WireGuard)</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SLA (disponibilidad
garantizada)</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99.9%</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99.9%</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99.9%</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99.9%</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Soporte
técnico</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Enterprise
contratos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Granular
por plan</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Bueno
asequible</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Limitado
para empresas</w:t>
            </w:r>
          </w:p>
        </w:tc>
      </w:tr>
      <w:tr>
        <w:tc>
          <w:tcPr>
            <w:tcW w:type="dxa" w:w="276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Recuperación
ante desastre</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Multi-zona
+ geo-replicación</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Multi-AZ
+ cross-region</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Multi-zona
+ snapshots</w:t>
            </w:r>
          </w:p>
        </w:tc>
        <w:tc>
          <w:tcPr>
            <w:tcW w:type="dxa" w:w="165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 Sin HA
real</w:t>
            </w:r>
          </w:p>
        </w:tc>
      </w:tr>
    </w:tbl>
    <w:p>
      <w:r>
        <w:br w:type="page"/>
      </w:r>
    </w:p>
    <w:p>
      <w:pPr>
        <w:pBdr>
          <w:bottom w:val="single" w:color="2471A3" w:sz="8" w:space="4"/>
        </w:pBdr>
        <w:spacing w:after="120" w:before="340"/>
      </w:pPr>
      <w:r>
        <w:rPr>
          <w:rFonts w:ascii="Calibri" w:cs="Calibri" w:eastAsia="Calibri" w:hAnsi="Calibri"/>
          <w:b/>
          <w:bCs/>
          <w:color w:val="0B1C2E"/>
          <w:sz w:val="26"/>
          <w:szCs w:val="26"/>
        </w:rPr>
        <w:t xml:space="preserve">10. VEREDICTO DEL ARQUITECTO CLOUD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1800"/>
        <w:gridCol w:w="5060"/>
      </w:tblGrid>
      <w:tr>
        <w:trPr>
          <w:tblHeader/>
        </w:trPr>
        <w:tc>
          <w:tcPr>
            <w:tcW w:type="dxa" w:w="25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Categoría</w:t>
            </w:r>
          </w:p>
        </w:tc>
        <w:tc>
          <w:tcPr>
            <w:tcW w:type="dxa" w:w="18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Ganador</w:t>
            </w:r>
          </w:p>
        </w:tc>
        <w:tc>
          <w:tcPr>
            <w:tcW w:type="dxa" w:w="50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Por qué</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Mejor costo SIN descuento</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1A5276"/>
                <w:sz w:val="18"/>
                <w:szCs w:val="18"/>
              </w:rPr>
              <w:t xml:space="preserve">🥇 GCP ≈ Azure</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GCP ~$80 USD/mes vs Azure ~$82 USD/mes. Prácticamente empatados. AWS es el más caro (~$92 USD).</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Mejor costo CON descuento</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 Azure</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Con reserva 1 año: Azure ~$59 USD vs GCP ~$60 USD. Si adquirieran Hybrid Benefit: Azure baja a ~$39 USD/mes.</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Mejor para equipo TI pequeño</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1A5276"/>
                <w:sz w:val="18"/>
                <w:szCs w:val="18"/>
              </w:rPr>
              <w:t xml:space="preserve">🥇 GCP</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La consola de GCP es la más intuitiva. Menos menús, menos complejidad. Ideal para equipos que no son especialistas en nube.</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Mejor ecosistema Windows</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 Azure</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Integración nativa con AD, RDP optimizado, Microsoft Defender. PERO el Hybrid Benefit NO aplica hoy (usan Win10 Pro, no Windows Server con SA).</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Mejor para OSR multimarca</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Empate</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OSR/ORS funciona sobre Windows estándar. No depende de servicios nativos de ninguna nube. Los puertos TCP (9009, 9050) se configuran igual en todas.</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Mejor latencia Colombia</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Empate</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TODOS (Azure, AWS, GCP) tienen datacenter en São Paulo (~120ms). AWS NO tiene Local Zone activa en Bogotá. Vultr Miami: ~50ms pero sin HA.</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Mejor resiliencia / HA</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 Azure = AWS</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Multi-zona, geo-replicación y SLAs enterprise. GCP también pero con menos opciones DR cross-region para Windows.</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Mejor DR para Firebird</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1A5276"/>
                <w:sz w:val="18"/>
                <w:szCs w:val="18"/>
              </w:rPr>
              <w:t xml:space="preserve">🥇 GCP</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Snapshot policies nativas + gbak automatizado. Azure Backup también funciona pero es más complejo de configurar para Firebird.</w:t>
            </w:r>
          </w:p>
        </w:tc>
      </w:tr>
      <w:tr>
        <w:tc>
          <w:tcPr>
            <w:tcW w:type="dxa" w:w="25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5"/>
                <w:szCs w:val="15"/>
              </w:rPr>
              <w:t xml:space="preserve">Peor opción 24/7</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 Vultr</w:t>
            </w:r>
          </w:p>
        </w:tc>
        <w:tc>
          <w:tcPr>
            <w:tcW w:type="dxa" w:w="5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Sin HA real, sin soporte enterprise, sin DR maduro. Solo para pruebas.</w:t>
            </w:r>
          </w:p>
        </w:tc>
      </w:tr>
      <w:tr>
        <w:tc>
          <w:tcPr>
            <w:tcW w:type="dxa" w:w="25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6"/>
                <w:szCs w:val="16"/>
              </w:rPr>
              <w:t xml:space="preserve">RECOMENDACIÓN FINAL</w:t>
            </w:r>
          </w:p>
        </w:tc>
        <w:tc>
          <w:tcPr>
            <w:tcW w:type="dxa" w:w="1800"/>
            <w:tcBorders>
              <w:top w:val="single" w:color="CDD3DB" w:sz="1"/>
              <w:left w:val="single" w:color="CDD3DB" w:sz="1"/>
              <w:bottom w:val="single" w:color="CDD3DB" w:sz="1"/>
              <w:right w:val="single" w:color="CDD3DB" w:sz="1"/>
            </w:tcBorders>
            <w:shd w:fill="2471A3" w:val="clear"/>
            <w:tcMar>
              <w:top w:type="dxa" w:w="100"/>
              <w:left w:type="dxa" w:w="140"/>
              <w:bottom w:type="dxa" w:w="100"/>
              <w:right w:type="dxa" w:w="140"/>
            </w:tcMar>
            <w:vAlign w:val="center"/>
          </w:tcPr>
          <w:p>
            <w:pPr>
              <w:jc w:val="left"/>
            </w:pPr>
            <w:r>
              <w:rPr>
                <w:rFonts w:ascii="Calibri" w:cs="Calibri" w:eastAsia="Calibri" w:hAnsi="Calibri"/>
                <w:b/>
                <w:bCs/>
                <w:color w:val="FFFFFF"/>
                <w:sz w:val="18"/>
                <w:szCs w:val="18"/>
              </w:rPr>
              <w:t xml:space="preserve">🏆 GCP</w:t>
            </w:r>
          </w:p>
        </w:tc>
        <w:tc>
          <w:tcPr>
            <w:tcW w:type="dxa" w:w="5060"/>
            <w:tcBorders>
              <w:top w:val="single" w:color="CDD3DB" w:sz="1"/>
              <w:left w:val="single" w:color="CDD3DB" w:sz="1"/>
              <w:bottom w:val="single" w:color="CDD3DB" w:sz="1"/>
              <w:right w:val="single" w:color="CDD3DB" w:sz="1"/>
            </w:tcBorders>
            <w:shd w:fill="EBF5FB"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4"/>
                <w:szCs w:val="14"/>
              </w:rPr>
              <w:t xml:space="preserve">Para la situación ACTUAL de Seguridad Alemana (16 paneles, equipo TI pequeño, sin licencias SA), GCP ofrece el mejor balance costo/simplicidad/resiliencia. Si en el futuro adquieren licencias Windows Server con SA, Azure se convierte en la opción más económica.</w:t>
            </w:r>
          </w:p>
        </w:tc>
      </w:tr>
    </w:tbl>
    <w:p>
      <w:r>
        <w:br w:type="page"/>
      </w:r>
    </w:p>
    <w:p>
      <w:pPr>
        <w:pBdr>
          <w:bottom w:val="single" w:color="2471A3" w:sz="8" w:space="4"/>
        </w:pBdr>
        <w:spacing w:after="120" w:before="340"/>
      </w:pPr>
      <w:r>
        <w:rPr>
          <w:rFonts w:ascii="Calibri" w:cs="Calibri" w:eastAsia="Calibri" w:hAnsi="Calibri"/>
          <w:b/>
          <w:bCs/>
          <w:color w:val="0B1C2E"/>
          <w:sz w:val="26"/>
          <w:szCs w:val="26"/>
        </w:rPr>
        <w:t xml:space="preserve">11. ARQUITECTURA RECOMENDADA</w:t>
      </w:r>
    </w:p>
    <w:p>
      <w:pPr>
        <w:spacing w:after="80" w:before="200"/>
      </w:pPr>
      <w:r>
        <w:rPr>
          <w:rFonts w:ascii="Calibri" w:cs="Calibri" w:eastAsia="Calibri" w:hAnsi="Calibri"/>
          <w:b/>
          <w:bCs/>
          <w:color w:val="1A5276"/>
          <w:sz w:val="22"/>
          <w:szCs w:val="22"/>
        </w:rPr>
        <w:t xml:space="preserve">Fase 1: MVP (Mínimo Viable y Seguro)</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1 VM Windows Server (e2-medium: 2vCPU / 4GB RAM)</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Disco SSD 50 GB</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IP estática reservada</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Firewall: solo puertos 9009 (alarmas), 9050 (ForwarderORS local), 3050 (Firebird local), 3389 (RDP restringido)</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Snapshots automáticos diarios (retención 7 días)</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Receptor IP + ForwarderORS + Firebird en la misma VM</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Costo: ~$80 USD/mes (~$344.000 COP)</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Tiempo de recuperación ante falla: &lt;5 minutos (restaurar snapshot)</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RECOMENDADA PARA SEGURIDAD ALEMANA — Suficiente para 16 paneles, simple de operar, económica.</w:t>
      </w:r>
    </w:p>
    <w:p>
      <w:pPr>
        <w:spacing w:after="80" w:before="200"/>
      </w:pPr>
      <w:r>
        <w:rPr>
          <w:rFonts w:ascii="Calibri" w:cs="Calibri" w:eastAsia="Calibri" w:hAnsi="Calibri"/>
          <w:b/>
          <w:bCs/>
          <w:color w:val="1A5276"/>
          <w:sz w:val="22"/>
          <w:szCs w:val="22"/>
        </w:rPr>
        <w:t xml:space="preserve">Fase 2: Profesional (Recomendada a mediano plazo)</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VM principal Windows Server (e2-standard-2: 2vCPU / 8GB RAM)</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VM secundaria en otra zona (standby frío — apagada, se enciende solo si falla la principal)</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VPN site-to-site entre oficina y GCP</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Cloud Monitoring con alertas de caída (SMS/email/WhatsApp)</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Backups cross-region (São Paulo + Chile)</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Costo: ~$130 USD/mes (~$559.000 COP) — la VM standby solo cobra disco mientras está apagada</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Tiempo de recuperación ante falla: &lt;10 minutos (encender VM standby + restaurar snapshot)</w:t>
      </w:r>
    </w:p>
    <w:p>
      <w:pPr>
        <w:pStyle w:val="ListParagraph"/>
        <w:numPr>
          <w:ilvl w:val="0"/>
          <w:numId w:val="2"/>
        </w:numPr>
        <w:spacing w:after="55" w:before="55"/>
      </w:pPr>
      <w:r>
        <w:rPr>
          <w:rFonts w:ascii="Calibri" w:cs="Calibri" w:eastAsia="Calibri" w:hAnsi="Calibri"/>
          <w:b w:val="false"/>
          <w:bCs w:val="false"/>
          <w:color w:val="0D0D0D"/>
          <w:sz w:val="18"/>
          <w:szCs w:val="18"/>
        </w:rPr>
        <w:t xml:space="preserve">RECOMENDADA SI CRECEN A 50+ PANELES — Mayor resiliencia sin duplicar costos.</w:t>
      </w:r>
    </w:p>
    <w:p>
      <w:pPr>
        <w:pBdr>
          <w:bottom w:val="single" w:color="2471A3" w:sz="8" w:space="4"/>
        </w:pBdr>
        <w:spacing w:after="120" w:before="340"/>
      </w:pPr>
      <w:r>
        <w:rPr>
          <w:rFonts w:ascii="Calibri" w:cs="Calibri" w:eastAsia="Calibri" w:hAnsi="Calibri"/>
          <w:b/>
          <w:bCs/>
          <w:color w:val="0B1C2E"/>
          <w:sz w:val="26"/>
          <w:szCs w:val="26"/>
        </w:rPr>
        <w:t xml:space="preserve">12. COSTOS DE HONORARIOS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2400"/>
        <w:gridCol w:w="4560"/>
        <w:gridCol w:w="2000"/>
      </w:tblGrid>
      <w:tr>
        <w:trPr>
          <w:tblHeader/>
        </w:trPr>
        <w:tc>
          <w:tcPr>
            <w:tcW w:type="dxa" w:w="4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w:t>
            </w:r>
          </w:p>
        </w:tc>
        <w:tc>
          <w:tcPr>
            <w:tcW w:type="dxa" w:w="24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Ítem</w:t>
            </w:r>
          </w:p>
        </w:tc>
        <w:tc>
          <w:tcPr>
            <w:tcW w:type="dxa" w:w="45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Descripción</w:t>
            </w:r>
          </w:p>
        </w:tc>
        <w:tc>
          <w:tcPr>
            <w:tcW w:type="dxa" w:w="20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COP</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1.1</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Diseño de arquitectura final</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Arquitectura basada en los hallazgos reales: 1 VM optimizada, firewall que bloquea los bots, IP estática, solo puertos necesarios.</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$ 140.000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1.2</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Proyecto GCP + permisos + facturación</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Creación del proyecto en Google Cloud, configuración de usuarios, permisos de acceso y alertas de presupuesto.</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$ 120.000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1.3</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Red VPC + firewall + IP estática</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Red privada virtual con reglas de seguridad: permitir SOLO puertos 9009/9050/3050 desde Intelbras Cloud. Bloquear todo lo demás.</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$ 140.000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2.1</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Creación de VM optimizada</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e2-medium (2vCPU/4GB) con Windows Server 2022, disco SSD 50 GB, zona horaria Bogotá. Suficiente para 16 paneles.</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$ 130.000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2.2</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Acceso remoto seguro (RDP)</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Reemplaza AnyDesk por RDP directo. Usuario dedicado con acceso restringido a las IPs de la empresa. Sin exposición a bots.</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$ 80.000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2.3</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Snapshots automáticos diarios</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Copias de seguridad automáticas cada noche. Retención 7 días. Si algo falla, se restaura todo en menos de 5 minutos.</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$ 80.000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3.1</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Gestión de licencia con Intelbras</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Acompañamiento completo en el trámite de transferir la licencia al nuevo Hardware ID de la VM. Punto más crítico de todo el proyecto.</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$ 150.000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3.2</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Instalación Receptor IP v3</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Instalación del software en la VM, configuración como servicio de arranque automático, replicando la configuración actual.</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$ 150.000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3.3</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Instalación de ForwarderORS</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Instalación del middleware con puerto 4002 CERRADO al exterior (solo comunicación interna). Elimina el problema de los bots.</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$ 120.000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3.4</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Migración de base de datos</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Backup manual de RECEPTORIP.FDB (17.8 MB), transferencia segura a la VM en GCP, verificación de integridad.</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$ 130.000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3.5</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Cambio de IP en Intelbras Cloud</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Actualización del destino en el portal web de Intelbras. Un solo cambio = los 16 paneles apuntan al nuevo servidor automáticamente.</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$ 100.000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3.6</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Pruebas y validación</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Prueba de señal real de alarma. Revisión de logs. Confirmación de que el tráfico basura está bloqueado y los 16 paneles operan.</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$ 100.000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4.1</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Documentación técnica completa</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Fichas técnicas, credenciales en gestor seguro, manual de acceso RDP, guía de troubleshooting para el equipo técnico.</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$ 120.000</w:t>
            </w:r>
          </w:p>
        </w:tc>
      </w:tr>
      <w:tr>
        <w:tc>
          <w:tcPr>
            <w:tcW w:type="dxa" w:w="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4.2</w:t>
            </w:r>
          </w:p>
        </w:tc>
        <w:tc>
          <w:tcPr>
            <w:tcW w:type="dxa" w:w="2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Entrega formal</w:t>
            </w:r>
          </w:p>
        </w:tc>
        <w:tc>
          <w:tcPr>
            <w:tcW w:type="dxa" w:w="45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Sesión con el equipo de Seguridad Alemana. Explicación del sistema. Entrega de accesos. Recomendaciones de crecimiento.</w:t>
            </w:r>
          </w:p>
        </w:tc>
        <w:tc>
          <w:tcPr>
            <w:tcW w:type="dxa" w:w="2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$ 100.000</w:t>
            </w:r>
          </w:p>
        </w:tc>
      </w:tr>
      <w:tr>
        <w:tc>
          <w:tcPr>
            <w:tcW w:type="dxa" w:w="73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right"/>
            </w:pPr>
            <w:r>
              <w:rPr>
                <w:rFonts w:ascii="Calibri" w:cs="Calibri" w:eastAsia="Calibri" w:hAnsi="Calibri"/>
                <w:b/>
                <w:bCs/>
                <w:color w:val="FFFFFF"/>
                <w:sz w:val="18"/>
                <w:szCs w:val="18"/>
              </w:rPr>
              <w:t xml:space="preserve">TOTAL IMPLEMENTACIÓN</w:t>
            </w:r>
          </w:p>
        </w:tc>
        <w:tc>
          <w:tcPr>
            <w:tcW w:type="dxa" w:w="2000"/>
            <w:tcBorders>
              <w:top w:val="single" w:color="CDD3DB" w:sz="1"/>
              <w:left w:val="single" w:color="CDD3DB" w:sz="1"/>
              <w:bottom w:val="single" w:color="CDD3DB" w:sz="1"/>
              <w:right w:val="single" w:color="CDD3DB" w:sz="1"/>
            </w:tcBorders>
            <w:shd w:fill="2471A3" w:val="clear"/>
            <w:tcMar>
              <w:top w:type="dxa" w:w="100"/>
              <w:left w:type="dxa" w:w="140"/>
              <w:bottom w:type="dxa" w:w="100"/>
              <w:right w:type="dxa" w:w="140"/>
            </w:tcMar>
            <w:vAlign w:val="center"/>
          </w:tcPr>
          <w:p>
            <w:pPr>
              <w:jc w:val="right"/>
            </w:pPr>
            <w:r>
              <w:rPr>
                <w:rFonts w:ascii="Calibri" w:cs="Calibri" w:eastAsia="Calibri" w:hAnsi="Calibri"/>
                <w:b/>
                <w:bCs/>
                <w:color w:val="FFFFFF"/>
                <w:sz w:val="18"/>
                <w:szCs w:val="18"/>
              </w:rPr>
              <w:t xml:space="preserve">$ 1.560.000</w:t>
            </w:r>
          </w:p>
        </w:tc>
      </w:tr>
    </w:tbl>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E6251" w:sz="16"/>
              <w:bottom w:val="none" w:color="FFFFFF" w:sz="0"/>
              <w:right w:val="none" w:color="FFFFFF" w:sz="0"/>
            </w:tcBorders>
            <w:shd w:fill="D1F2EB" w:val="clear"/>
            <w:tcMar>
              <w:top w:type="dxa" w:w="120"/>
              <w:left w:type="dxa" w:w="200"/>
              <w:bottom w:type="dxa" w:w="120"/>
              <w:right w:type="dxa" w:w="200"/>
            </w:tcMar>
          </w:tcPr>
          <w:p>
            <w:pPr>
              <w:spacing w:after="50" w:before="0"/>
            </w:pPr>
            <w:r>
              <w:rPr>
                <w:rFonts w:ascii="Calibri" w:cs="Calibri" w:eastAsia="Calibri" w:hAnsi="Calibri"/>
                <w:b/>
                <w:bCs/>
                <w:color w:val="0E6251"/>
                <w:sz w:val="18"/>
                <w:szCs w:val="18"/>
              </w:rPr>
              <w:t xml:space="preserve">🎁  INCLUIDO:</w:t>
            </w:r>
          </w:p>
          <w:p>
            <w:pPr>
              <w:spacing w:after="0" w:before="0"/>
            </w:pPr>
            <w:r>
              <w:rPr>
                <w:rFonts w:ascii="Calibri" w:cs="Calibri" w:eastAsia="Calibri" w:hAnsi="Calibri"/>
                <w:color w:val="0E6251"/>
                <w:sz w:val="17"/>
                <w:szCs w:val="17"/>
              </w:rPr>
              <w:t xml:space="preserve">1 mes de soporte post-entrega gratuito para asegurar la estabilidad total.</w:t>
            </w:r>
          </w:p>
        </w:tc>
      </w:tr>
    </w:tbl>
    <w:p>
      <w:r>
        <w:br w:type="page"/>
      </w:r>
    </w:p>
    <w:p>
      <w:pPr>
        <w:pBdr>
          <w:bottom w:val="single" w:color="2471A3" w:sz="8" w:space="4"/>
        </w:pBdr>
        <w:spacing w:after="120" w:before="340"/>
      </w:pPr>
      <w:r>
        <w:rPr>
          <w:rFonts w:ascii="Calibri" w:cs="Calibri" w:eastAsia="Calibri" w:hAnsi="Calibri"/>
          <w:b/>
          <w:bCs/>
          <w:color w:val="0B1C2E"/>
          <w:sz w:val="26"/>
          <w:szCs w:val="26"/>
        </w:rPr>
        <w:t xml:space="preserve">13. ¿POR QUÉ CAMBIÓ EL PRECIO ESTIMADO DEL SERVIDOR?</w:t>
      </w:r>
    </w:p>
    <w:p>
      <w:pPr>
        <w:spacing w:after="80" w:before="80"/>
        <w:jc w:val="left"/>
      </w:pPr>
      <w:r>
        <w:rPr>
          <w:rFonts w:ascii="Calibri" w:cs="Calibri" w:eastAsia="Calibri" w:hAnsi="Calibri"/>
          <w:b w:val="false"/>
          <w:bCs w:val="false"/>
          <w:color w:val="0D0D0D"/>
          <w:sz w:val="20"/>
          <w:szCs w:val="20"/>
        </w:rPr>
        <w:t xml:space="preserve">En la cotización anterior, el costo estimado de la VM en GCP era de ~$25 USD/mes (~$107.000 COP). Ese precio correspondía a una VM con sistema operativo Linux. Sin embargo, durante la auditoría del 6 de mayo se confirmó que el Receptor IP de Intelbras, ForwarderORS y Firebird REQUIEREN Windows para funcionar — no hay versión para Linux. Esto cambia el costo de la VM porque Google cobra un recargo por la licencia de Windows Server incluida en el precio. Este recargo aplica en TODAS las nubes (Azure, AWS, GCP, Vultr) y no es negociable. Es el costo real de operar este software en la nube.</w:t>
      </w:r>
    </w:p>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200"/>
        <w:gridCol w:w="2360"/>
        <w:gridCol w:w="2800"/>
      </w:tblGrid>
      <w:tr>
        <w:trPr>
          <w:tblHeader/>
        </w:trPr>
        <w:tc>
          <w:tcPr>
            <w:tcW w:type="dxa" w:w="20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Concepto</w:t>
            </w:r>
          </w:p>
        </w:tc>
        <w:tc>
          <w:tcPr>
            <w:tcW w:type="dxa" w:w="22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Cotización Anterior
(estimación inicial)</w:t>
            </w:r>
          </w:p>
        </w:tc>
        <w:tc>
          <w:tcPr>
            <w:tcW w:type="dxa" w:w="23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Cotización Actual
(datos reales de auditoría)</w:t>
            </w:r>
          </w:p>
        </w:tc>
        <w:tc>
          <w:tcPr>
            <w:tcW w:type="dxa" w:w="28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Por qué cambió</w:t>
            </w:r>
          </w:p>
        </w:tc>
      </w:tr>
      <w:tr>
        <w:tc>
          <w:tcPr>
            <w:tcW w:type="dxa" w:w="20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VM (solo compute)</w:t>
            </w:r>
          </w:p>
        </w:tc>
        <w:tc>
          <w:tcPr>
            <w:tcW w:type="dxa" w:w="22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~$25 USD/mes
(Linux)</w:t>
            </w:r>
          </w:p>
        </w:tc>
        <w:tc>
          <w:tcPr>
            <w:tcW w:type="dxa" w:w="2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~$58 USD/mes
(Windows Server)</w:t>
            </w:r>
          </w:p>
        </w:tc>
        <w:tc>
          <w:tcPr>
            <w:tcW w:type="dxa" w:w="2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3"/>
                <w:szCs w:val="13"/>
              </w:rPr>
              <w:t xml:space="preserve">El Receptor IP NO funciona en Linux. Windows Server tiene licencia incluida que suma ~$33 USD/mes.</w:t>
            </w:r>
          </w:p>
        </w:tc>
      </w:tr>
      <w:tr>
        <w:tc>
          <w:tcPr>
            <w:tcW w:type="dxa" w:w="20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Total GCP mensual</w:t>
            </w:r>
          </w:p>
        </w:tc>
        <w:tc>
          <w:tcPr>
            <w:tcW w:type="dxa" w:w="22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~$46 USD/mes
~$198.000 COP</w:t>
            </w:r>
          </w:p>
        </w:tc>
        <w:tc>
          <w:tcPr>
            <w:tcW w:type="dxa" w:w="2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~$78 USD/mes
~$335.000 COP</w:t>
            </w:r>
          </w:p>
        </w:tc>
        <w:tc>
          <w:tcPr>
            <w:tcW w:type="dxa" w:w="2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3"/>
                <w:szCs w:val="13"/>
              </w:rPr>
              <w:t xml:space="preserve">Mismo motivo: Windows Server + precios actualizados de SSD y tráfico para la región São Paulo.</w:t>
            </w:r>
          </w:p>
        </w:tc>
      </w:tr>
      <w:tr>
        <w:tc>
          <w:tcPr>
            <w:tcW w:type="dxa" w:w="20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Honorarios proyecto</w:t>
            </w:r>
          </w:p>
        </w:tc>
        <w:tc>
          <w:tcPr>
            <w:tcW w:type="dxa" w:w="22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$1.550.000 COP</w:t>
            </w:r>
          </w:p>
        </w:tc>
        <w:tc>
          <w:tcPr>
            <w:tcW w:type="dxa" w:w="2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$1.560.000 COP</w:t>
            </w:r>
          </w:p>
        </w:tc>
        <w:tc>
          <w:tcPr>
            <w:tcW w:type="dxa" w:w="2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3"/>
                <w:szCs w:val="13"/>
              </w:rPr>
              <w:t xml:space="preserve">Sin cambio significativo. Se mantiene el mismo alcance con ítems más detallados.</w:t>
            </w:r>
          </w:p>
        </w:tc>
      </w:tr>
      <w:tr>
        <w:tc>
          <w:tcPr>
            <w:tcW w:type="dxa" w:w="2000"/>
            <w:tcBorders>
              <w:top w:val="single" w:color="CDD3DB" w:sz="1"/>
              <w:left w:val="single" w:color="CDD3DB" w:sz="1"/>
              <w:bottom w:val="single" w:color="CDD3DB" w:sz="1"/>
              <w:right w:val="single" w:color="CDD3DB" w:sz="1"/>
            </w:tcBorders>
            <w:shd w:fill="E8ECF0" w:val="clear"/>
            <w:tcMar>
              <w:top w:type="dxa" w:w="100"/>
              <w:left w:type="dxa" w:w="140"/>
              <w:bottom w:type="dxa" w:w="100"/>
              <w:right w:type="dxa" w:w="140"/>
            </w:tcMar>
            <w:vAlign w:val="center"/>
          </w:tcPr>
          <w:p>
            <w:pPr>
              <w:jc w:val="left"/>
            </w:pPr>
            <w:r>
              <w:rPr>
                <w:rFonts w:ascii="Calibri" w:cs="Calibri" w:eastAsia="Calibri" w:hAnsi="Calibri"/>
                <w:b/>
                <w:bCs/>
                <w:color w:val="0D0D0D"/>
                <w:sz w:val="14"/>
                <w:szCs w:val="14"/>
              </w:rPr>
              <w:t xml:space="preserve">Descuento anual GCP</w:t>
            </w:r>
          </w:p>
        </w:tc>
        <w:tc>
          <w:tcPr>
            <w:tcW w:type="dxa" w:w="22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4"/>
                <w:szCs w:val="14"/>
              </w:rPr>
              <w:t xml:space="preserve">No incluido</w:t>
            </w:r>
          </w:p>
        </w:tc>
        <w:tc>
          <w:tcPr>
            <w:tcW w:type="dxa" w:w="2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bCs/>
                <w:color w:val="0D0D0D"/>
                <w:sz w:val="14"/>
                <w:szCs w:val="14"/>
              </w:rPr>
              <w:t xml:space="preserve">~$57 USD/mes
~$245.000 COP</w:t>
            </w:r>
          </w:p>
        </w:tc>
        <w:tc>
          <w:tcPr>
            <w:tcW w:type="dxa" w:w="2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3"/>
                <w:szCs w:val="13"/>
              </w:rPr>
              <w:t xml:space="preserve">Con compromiso de 1 año, GCP aplica hasta 37% de descuento en compute.</w:t>
            </w:r>
          </w:p>
        </w:tc>
      </w:tr>
    </w:tbl>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E6251" w:sz="16"/>
              <w:bottom w:val="none" w:color="FFFFFF" w:sz="0"/>
              <w:right w:val="none" w:color="FFFFFF" w:sz="0"/>
            </w:tcBorders>
            <w:shd w:fill="D1F2EB" w:val="clear"/>
            <w:tcMar>
              <w:top w:type="dxa" w:w="120"/>
              <w:left w:type="dxa" w:w="200"/>
              <w:bottom w:type="dxa" w:w="120"/>
              <w:right w:type="dxa" w:w="200"/>
            </w:tcMar>
          </w:tcPr>
          <w:p>
            <w:pPr>
              <w:spacing w:after="50" w:before="0"/>
            </w:pPr>
            <w:r>
              <w:rPr>
                <w:rFonts w:ascii="Calibri" w:cs="Calibri" w:eastAsia="Calibri" w:hAnsi="Calibri"/>
                <w:b/>
                <w:bCs/>
                <w:color w:val="0E6251"/>
                <w:sz w:val="18"/>
                <w:szCs w:val="18"/>
              </w:rPr>
              <w:t xml:space="preserve">💡  Google regala $300 USD en créditos:</w:t>
            </w:r>
          </w:p>
          <w:p>
            <w:pPr>
              <w:spacing w:after="0" w:before="0"/>
            </w:pPr>
            <w:r>
              <w:rPr>
                <w:rFonts w:ascii="Calibri" w:cs="Calibri" w:eastAsia="Calibri" w:hAnsi="Calibri"/>
                <w:color w:val="0E6251"/>
                <w:sz w:val="17"/>
                <w:szCs w:val="17"/>
              </w:rPr>
              <w:t xml:space="preserve">Google Cloud regala $300 USD en créditos gratuitos a toda cuenta nueva. Estos créditos son válidos por 90 días (3 meses) y cubren el uso de CUALQUIER servicio de GCP, incluyendo la VM, el disco, la IP estática y los snapshots. Esto significa que los primeros 3 meses de operación del servidor en la nube serían GRATIS para Seguridad Alemana. No se cobra automáticamente al terminar — hay que activar la facturación manualmente para continuar. Recomendamos usar este período para: 1) Validar que todo funciona perfectamente. 2) Medir el consumo real mensual. 3) Ajustar el tamaño de la VM si es necesario antes de empezar a pagar.</w:t>
            </w:r>
          </w:p>
        </w:tc>
      </w:tr>
    </w:tbl>
    <w:p>
      <w:r>
        <w:br w:type="page"/>
      </w:r>
    </w:p>
    <w:p>
      <w:pPr>
        <w:pBdr>
          <w:bottom w:val="single" w:color="2471A3" w:sz="8" w:space="4"/>
        </w:pBdr>
        <w:spacing w:after="120" w:before="340"/>
      </w:pPr>
      <w:r>
        <w:rPr>
          <w:rFonts w:ascii="Calibri" w:cs="Calibri" w:eastAsia="Calibri" w:hAnsi="Calibri"/>
          <w:b/>
          <w:bCs/>
          <w:color w:val="0B1C2E"/>
          <w:sz w:val="26"/>
          <w:szCs w:val="26"/>
        </w:rPr>
        <w:t xml:space="preserve">14. ¿POR QUÉ SÃO PAULO? — UBICACIONES COMPARADAS</w:t>
      </w:r>
    </w:p>
    <w:p>
      <w:pPr>
        <w:spacing w:after="80" w:before="80"/>
        <w:jc w:val="left"/>
      </w:pPr>
      <w:r>
        <w:rPr>
          <w:rFonts w:ascii="Calibri" w:cs="Calibri" w:eastAsia="Calibri" w:hAnsi="Calibri"/>
          <w:b w:val="false"/>
          <w:bCs w:val="false"/>
          <w:color w:val="0D0D0D"/>
          <w:sz w:val="20"/>
          <w:szCs w:val="20"/>
        </w:rPr>
        <w:t xml:space="preserve">Elegimos São Paulo (Brasil) como ubicación del servidor porque es el datacenter más cercano a Colombia que ofrecen los 3 grandes proveedores de nube (Azure, AWS y GCP). NO existe un datacenter de ningún proveedor grande en Colombia. A continuación explicamos las opciones disponibles y por qué São Paulo es la mejor elección para Seguridad Alemana.</w:t>
      </w:r>
    </w:p>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100"/>
        <w:gridCol w:w="1000"/>
        <w:gridCol w:w="1400"/>
        <w:gridCol w:w="2360"/>
        <w:gridCol w:w="1900"/>
      </w:tblGrid>
      <w:tr>
        <w:trPr>
          <w:tblHeader/>
        </w:trPr>
        <w:tc>
          <w:tcPr>
            <w:tcW w:type="dxa" w:w="12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Ubicación</w:t>
            </w:r>
          </w:p>
        </w:tc>
        <w:tc>
          <w:tcPr>
            <w:tcW w:type="dxa" w:w="11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Distancia
desde Bogotá</w:t>
            </w:r>
          </w:p>
        </w:tc>
        <w:tc>
          <w:tcPr>
            <w:tcW w:type="dxa" w:w="10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Latencia
estimada</w:t>
            </w:r>
          </w:p>
        </w:tc>
        <w:tc>
          <w:tcPr>
            <w:tcW w:type="dxa" w:w="14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Proveedores
disponibles</w:t>
            </w:r>
          </w:p>
        </w:tc>
        <w:tc>
          <w:tcPr>
            <w:tcW w:type="dxa" w:w="23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¿Para qué sirve?</w:t>
            </w:r>
          </w:p>
        </w:tc>
        <w:tc>
          <w:tcPr>
            <w:tcW w:type="dxa" w:w="19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Veredicto</w:t>
            </w:r>
          </w:p>
        </w:tc>
      </w:tr>
      <w:tr>
        <w:tc>
          <w:tcPr>
            <w:tcW w:type="dxa" w:w="12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3"/>
                <w:szCs w:val="13"/>
              </w:rPr>
              <w:t xml:space="preserve">São Paulo
(Brasil)</w:t>
            </w:r>
          </w:p>
        </w:tc>
        <w:tc>
          <w:tcPr>
            <w:tcW w:type="dxa" w:w="11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~4.300 km</w:t>
            </w:r>
          </w:p>
        </w:tc>
        <w:tc>
          <w:tcPr>
            <w:tcW w:type="dxa" w:w="1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110–135 ms</w:t>
            </w:r>
          </w:p>
        </w:tc>
        <w:tc>
          <w:tcPr>
            <w:tcW w:type="dxa" w:w="1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Azure ✅
AWS ✅
GCP ✅</w:t>
            </w:r>
          </w:p>
        </w:tc>
        <w:tc>
          <w:tcPr>
            <w:tcW w:type="dxa" w:w="2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Datacenter completo con TODAS las funciones: VMs, backups, snapshots, firewalls, HA. El más cercano con capacidades enterprise.</w:t>
            </w:r>
          </w:p>
        </w:tc>
        <w:tc>
          <w:tcPr>
            <w:tcW w:type="dxa" w:w="1900"/>
            <w:tcBorders>
              <w:top w:val="single" w:color="CDD3DB" w:sz="1"/>
              <w:left w:val="single" w:color="CDD3DB" w:sz="1"/>
              <w:bottom w:val="single" w:color="CDD3DB" w:sz="1"/>
              <w:right w:val="single" w:color="CDD3DB" w:sz="1"/>
            </w:tcBorders>
            <w:shd w:fill="D1F2EB" w:val="clear"/>
            <w:tcMar>
              <w:top w:type="dxa" w:w="100"/>
              <w:left w:type="dxa" w:w="140"/>
              <w:bottom w:type="dxa" w:w="100"/>
              <w:right w:type="dxa" w:w="140"/>
            </w:tcMar>
            <w:vAlign w:val="center"/>
          </w:tcPr>
          <w:p>
            <w:pPr>
              <w:jc w:val="left"/>
            </w:pPr>
            <w:r>
              <w:rPr>
                <w:rFonts w:ascii="Calibri" w:cs="Calibri" w:eastAsia="Calibri" w:hAnsi="Calibri"/>
                <w:b/>
                <w:bCs/>
                <w:color w:val="0D0D0D"/>
                <w:sz w:val="12"/>
                <w:szCs w:val="12"/>
              </w:rPr>
              <w:t xml:space="preserve">✅ RECOMENDADO
Mejor balance
latencia/funcionalidad</w:t>
            </w:r>
          </w:p>
        </w:tc>
      </w:tr>
      <w:tr>
        <w:tc>
          <w:tcPr>
            <w:tcW w:type="dxa" w:w="12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3"/>
                <w:szCs w:val="13"/>
              </w:rPr>
              <w:t xml:space="preserve">Miami
(Estados Unidos)</w:t>
            </w:r>
          </w:p>
        </w:tc>
        <w:tc>
          <w:tcPr>
            <w:tcW w:type="dxa" w:w="11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~2.600 km</w:t>
            </w:r>
          </w:p>
        </w:tc>
        <w:tc>
          <w:tcPr>
            <w:tcW w:type="dxa" w:w="1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40–65 ms</w:t>
            </w:r>
          </w:p>
        </w:tc>
        <w:tc>
          <w:tcPr>
            <w:tcW w:type="dxa" w:w="1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Vultr ✅
DigitalOcean ✅
AWS ✅ (parcial)</w:t>
            </w:r>
          </w:p>
        </w:tc>
        <w:tc>
          <w:tcPr>
            <w:tcW w:type="dxa" w:w="2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Menor latencia que São Paulo. PERO Vultr y DO no ofrecen HA real, snapshots avanzados ni soporte enterprise 24/7.</w:t>
            </w:r>
          </w:p>
        </w:tc>
        <w:tc>
          <w:tcPr>
            <w:tcW w:type="dxa" w:w="19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2"/>
                <w:szCs w:val="12"/>
              </w:rPr>
              <w:t xml:space="preserve">⚠️ Menor latencia
pero sin resiliencia
para 24/7</w:t>
            </w:r>
          </w:p>
        </w:tc>
      </w:tr>
      <w:tr>
        <w:tc>
          <w:tcPr>
            <w:tcW w:type="dxa" w:w="12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3"/>
                <w:szCs w:val="13"/>
              </w:rPr>
              <w:t xml:space="preserve">Bogotá
(Colombia)</w:t>
            </w:r>
          </w:p>
        </w:tc>
        <w:tc>
          <w:tcPr>
            <w:tcW w:type="dxa" w:w="11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0 km</w:t>
            </w:r>
          </w:p>
        </w:tc>
        <w:tc>
          <w:tcPr>
            <w:tcW w:type="dxa" w:w="1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&lt;10 ms</w:t>
            </w:r>
          </w:p>
        </w:tc>
        <w:tc>
          <w:tcPr>
            <w:tcW w:type="dxa" w:w="1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 Ninguno
de los grandes</w:t>
            </w:r>
          </w:p>
        </w:tc>
        <w:tc>
          <w:tcPr>
            <w:tcW w:type="dxa" w:w="2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AWS anunció una 'Local Zone' en Bogotá en 2022 pero NUNCA se activó. A mayo 2026 sigue sin estar disponible.</w:t>
            </w:r>
          </w:p>
        </w:tc>
        <w:tc>
          <w:tcPr>
            <w:tcW w:type="dxa" w:w="19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2"/>
                <w:szCs w:val="12"/>
              </w:rPr>
              <w:t xml:space="preserve">❌ NO DISPONIBLE</w:t>
            </w:r>
          </w:p>
        </w:tc>
      </w:tr>
      <w:tr>
        <w:tc>
          <w:tcPr>
            <w:tcW w:type="dxa" w:w="12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3"/>
                <w:szCs w:val="13"/>
              </w:rPr>
              <w:t xml:space="preserve">Santiago
(Chile)</w:t>
            </w:r>
          </w:p>
        </w:tc>
        <w:tc>
          <w:tcPr>
            <w:tcW w:type="dxa" w:w="11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~4.200 km</w:t>
            </w:r>
          </w:p>
        </w:tc>
        <w:tc>
          <w:tcPr>
            <w:tcW w:type="dxa" w:w="10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120–150 ms</w:t>
            </w:r>
          </w:p>
        </w:tc>
        <w:tc>
          <w:tcPr>
            <w:tcW w:type="dxa" w:w="14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Azure ✅
AWS ✅
GCP ✅</w:t>
            </w:r>
          </w:p>
        </w:tc>
        <w:tc>
          <w:tcPr>
            <w:tcW w:type="dxa" w:w="23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Similar a São Paulo en distancia. Útil como respaldo cross-region para Disaster Recovery (DR).</w:t>
            </w:r>
          </w:p>
        </w:tc>
        <w:tc>
          <w:tcPr>
            <w:tcW w:type="dxa" w:w="19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bCs/>
                <w:color w:val="0D0D0D"/>
                <w:sz w:val="12"/>
                <w:szCs w:val="12"/>
              </w:rPr>
              <w:t xml:space="preserve">🔄 Respaldo
cross-region</w:t>
            </w:r>
          </w:p>
        </w:tc>
      </w:tr>
      <w:tr>
        <w:tc>
          <w:tcPr>
            <w:tcW w:type="dxa" w:w="12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3"/>
                <w:szCs w:val="13"/>
              </w:rPr>
              <w:t xml:space="preserve">Virginia
(Estados Unidos)</w:t>
            </w:r>
          </w:p>
        </w:tc>
        <w:tc>
          <w:tcPr>
            <w:tcW w:type="dxa" w:w="11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~3.800 km</w:t>
            </w:r>
          </w:p>
        </w:tc>
        <w:tc>
          <w:tcPr>
            <w:tcW w:type="dxa" w:w="10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3"/>
                <w:szCs w:val="13"/>
              </w:rPr>
              <w:t xml:space="preserve">60–90 ms</w:t>
            </w:r>
          </w:p>
        </w:tc>
        <w:tc>
          <w:tcPr>
            <w:tcW w:type="dxa" w:w="14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Azure ✅
AWS ✅
GCP ✅</w:t>
            </w:r>
          </w:p>
        </w:tc>
        <w:tc>
          <w:tcPr>
            <w:tcW w:type="dxa" w:w="236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2"/>
                <w:szCs w:val="12"/>
              </w:rPr>
              <w:t xml:space="preserve">Donde está Intelbras Cloud (IP 3.221.68.191). Los paneles YA viajan hasta Virginia y de regreso — por eso la latencia extra de São Paulo NO afecta a los paneles.</w:t>
            </w:r>
          </w:p>
        </w:tc>
        <w:tc>
          <w:tcPr>
            <w:tcW w:type="dxa" w:w="19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2"/>
                <w:szCs w:val="12"/>
              </w:rPr>
              <w:t xml:space="preserve">ℹ️ Referencia
Intelbras Cloud
ya está aquí</w:t>
            </w:r>
          </w:p>
        </w:tc>
      </w:tr>
    </w:tbl>
    <w:p>
      <w:pPr>
        <w:spacing w:after="0" w:before="11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5276" w:sz="16"/>
              <w:bottom w:val="none" w:color="FFFFFF" w:sz="0"/>
              <w:right w:val="none" w:color="FFFFFF" w:sz="0"/>
            </w:tcBorders>
            <w:shd w:fill="EBF5FB" w:val="clear"/>
            <w:tcMar>
              <w:top w:type="dxa" w:w="120"/>
              <w:left w:type="dxa" w:w="200"/>
              <w:bottom w:type="dxa" w:w="120"/>
              <w:right w:type="dxa" w:w="200"/>
            </w:tcMar>
          </w:tcPr>
          <w:p>
            <w:pPr>
              <w:spacing w:after="50" w:before="0"/>
            </w:pPr>
            <w:r>
              <w:rPr>
                <w:rFonts w:ascii="Calibri" w:cs="Calibri" w:eastAsia="Calibri" w:hAnsi="Calibri"/>
                <w:b/>
                <w:bCs/>
                <w:color w:val="1A5276"/>
                <w:sz w:val="18"/>
                <w:szCs w:val="18"/>
              </w:rPr>
              <w:t xml:space="preserve">📡  Dato clave sobre latencia:</w:t>
            </w:r>
          </w:p>
          <w:p>
            <w:pPr>
              <w:spacing w:after="0" w:before="0"/>
            </w:pPr>
            <w:r>
              <w:rPr>
                <w:rFonts w:ascii="Calibri" w:cs="Calibri" w:eastAsia="Calibri" w:hAnsi="Calibri"/>
                <w:color w:val="1A5276"/>
                <w:sz w:val="17"/>
                <w:szCs w:val="17"/>
              </w:rPr>
              <w:t xml:space="preserve">DATO CLAVE: Los paneles de alarma de los clientes de Seguridad Alemana NO se conectan directamente al servidor. Se conectan a Intelbras Cloud, que está en Virginia (Estados Unidos). Intelbras Cloud luego reenvía la señal al servidor de Seguridad Alemana. Esto significa que la señal YA viaja hasta Virginia (~60ms) antes de llegar al servidor actual en Bogotá. Mover el servidor a São Paulo (~120ms) NO añade latencia significativa para los paneles — la latencia que importa es la de Intelbras Cloud, que ya está en Virginia.</w:t>
            </w:r>
          </w:p>
        </w:tc>
      </w:tr>
    </w:tbl>
    <w:p>
      <w:r>
        <w:br w:type="page"/>
      </w:r>
    </w:p>
    <w:p>
      <w:pPr>
        <w:pBdr>
          <w:bottom w:val="single" w:color="2471A3" w:sz="8" w:space="4"/>
        </w:pBdr>
        <w:spacing w:after="120" w:before="340"/>
      </w:pPr>
      <w:r>
        <w:rPr>
          <w:rFonts w:ascii="Calibri" w:cs="Calibri" w:eastAsia="Calibri" w:hAnsi="Calibri"/>
          <w:b/>
          <w:bCs/>
          <w:color w:val="0B1C2E"/>
          <w:sz w:val="26"/>
          <w:szCs w:val="26"/>
        </w:rPr>
        <w:t xml:space="preserve">15. PLAN DÍA A DÍA — QUÉ SE HACE Y POR QUÉ</w:t>
      </w:r>
    </w:p>
    <w:p>
      <w:pPr>
        <w:spacing w:after="80" w:before="200"/>
      </w:pPr>
      <w:r>
        <w:rPr>
          <w:rFonts w:ascii="Calibri" w:cs="Calibri" w:eastAsia="Calibri" w:hAnsi="Calibri"/>
          <w:b/>
          <w:bCs/>
          <w:color w:val="1A5276"/>
          <w:sz w:val="22"/>
          <w:szCs w:val="22"/>
        </w:rPr>
        <w:t xml:space="preserve">DÍA 1: Arquitectura + Proyecto GCP</w:t>
      </w:r>
    </w:p>
    <w:p>
      <w:pPr>
        <w:spacing w:after="80" w:before="80"/>
        <w:jc w:val="left"/>
      </w:pPr>
      <w:r>
        <w:rPr>
          <w:rFonts w:ascii="Calibri" w:cs="Calibri" w:eastAsia="Calibri" w:hAnsi="Calibri"/>
          <w:b/>
          <w:bCs/>
          <w:color w:val="1A5276"/>
          <w:sz w:val="18"/>
          <w:szCs w:val="18"/>
        </w:rPr>
        <w:t xml:space="preserve">MAÑANA:</w:t>
      </w:r>
    </w:p>
    <w:p>
      <w:pPr>
        <w:spacing w:after="80" w:before="80"/>
        <w:jc w:val="left"/>
      </w:pPr>
      <w:r>
        <w:rPr>
          <w:rFonts w:ascii="Calibri" w:cs="Calibri" w:eastAsia="Calibri" w:hAnsi="Calibri"/>
          <w:b w:val="false"/>
          <w:bCs w:val="false"/>
          <w:color w:val="0D0D0D"/>
          <w:sz w:val="16"/>
          <w:szCs w:val="16"/>
        </w:rPr>
        <w:t xml:space="preserve">— Técnico: Crear proyecto en GCP Console. Configurar IAM (Identity and Access Management) con roles de Owner y Editor. Activar APIs de Compute Engine, Cloud DNS y Monitoring.
— En palabras simples: Se abre la 'cuenta' de Seguridad Alemana en Google Cloud y se configura quién tiene acceso y qué permisos tiene.</w:t>
      </w:r>
    </w:p>
    <w:p>
      <w:pPr>
        <w:spacing w:after="0" w:before="110"/>
      </w:pPr>
      <w:r>
        <w:t xml:space="preserve"/>
      </w:r>
    </w:p>
    <w:p>
      <w:pPr>
        <w:spacing w:after="80" w:before="80"/>
        <w:jc w:val="left"/>
      </w:pPr>
      <w:r>
        <w:rPr>
          <w:rFonts w:ascii="Calibri" w:cs="Calibri" w:eastAsia="Calibri" w:hAnsi="Calibri"/>
          <w:b/>
          <w:bCs/>
          <w:color w:val="1A5276"/>
          <w:sz w:val="18"/>
          <w:szCs w:val="18"/>
        </w:rPr>
        <w:t xml:space="preserve">TARDE:</w:t>
      </w:r>
    </w:p>
    <w:p>
      <w:pPr>
        <w:spacing w:after="80" w:before="80"/>
        <w:jc w:val="left"/>
      </w:pPr>
      <w:r>
        <w:rPr>
          <w:rFonts w:ascii="Calibri" w:cs="Calibri" w:eastAsia="Calibri" w:hAnsi="Calibri"/>
          <w:b w:val="false"/>
          <w:bCs w:val="false"/>
          <w:color w:val="0D0D0D"/>
          <w:sz w:val="16"/>
          <w:szCs w:val="16"/>
        </w:rPr>
        <w:t xml:space="preserve">— Técnico: Crear VPC (Virtual Private Cloud) con subred en southamerica-east1. Configurar reglas de firewall: allow TCP 9009 (alarmas), TCP 9050 (ForwarderORS), TCP 3389 (RDP restringido a IP de la empresa). Deny-all por defecto. Reservar IP estática externa.
— En palabras simples: Se construye una red privada y segura dentro de Google Cloud. Se abren SOLO los puertos que necesita el Receptor IP y se bloquea todo lo demás (incluidos los 2.260 bots).</w:t>
      </w:r>
    </w:p>
    <w:p>
      <w:pPr>
        <w:spacing w:after="0" w:before="110"/>
      </w:pPr>
      <w:r>
        <w:t xml:space="preserve"/>
      </w:r>
    </w:p>
    <w:p>
      <w:pPr>
        <w:spacing w:after="80" w:before="200"/>
      </w:pPr>
      <w:r>
        <w:rPr>
          <w:rFonts w:ascii="Calibri" w:cs="Calibri" w:eastAsia="Calibri" w:hAnsi="Calibri"/>
          <w:b/>
          <w:bCs/>
          <w:color w:val="1A5276"/>
          <w:sz w:val="22"/>
          <w:szCs w:val="22"/>
        </w:rPr>
        <w:t xml:space="preserve">DÍA 2: Creación de la VM + Seguridad</w:t>
      </w:r>
    </w:p>
    <w:p>
      <w:pPr>
        <w:spacing w:after="80" w:before="80"/>
        <w:jc w:val="left"/>
      </w:pPr>
      <w:r>
        <w:rPr>
          <w:rFonts w:ascii="Calibri" w:cs="Calibri" w:eastAsia="Calibri" w:hAnsi="Calibri"/>
          <w:b/>
          <w:bCs/>
          <w:color w:val="1A5276"/>
          <w:sz w:val="18"/>
          <w:szCs w:val="18"/>
        </w:rPr>
        <w:t xml:space="preserve">MAÑANA:</w:t>
      </w:r>
    </w:p>
    <w:p>
      <w:pPr>
        <w:spacing w:after="80" w:before="80"/>
        <w:jc w:val="left"/>
      </w:pPr>
      <w:r>
        <w:rPr>
          <w:rFonts w:ascii="Calibri" w:cs="Calibri" w:eastAsia="Calibri" w:hAnsi="Calibri"/>
          <w:b w:val="false"/>
          <w:bCs w:val="false"/>
          <w:color w:val="0D0D0D"/>
          <w:sz w:val="16"/>
          <w:szCs w:val="16"/>
        </w:rPr>
        <w:t xml:space="preserve">— Técnico: Desplegar instancia e2-medium (2vCPU/4GB) con imagen Windows Server 2022 Datacenter en zona southamerica-east1-b. Disco de arranque pd-ssd de 50GB. Zona horaria: America/Bogota. Configurar Scheduled Snapshots con retención de 7 días.
— En palabras simples: Se crea el 'servidor virtual' con Windows, disco rápido (SSD) y copias de seguridad automáticas cada noche.</w:t>
      </w:r>
    </w:p>
    <w:p>
      <w:pPr>
        <w:spacing w:after="0" w:before="110"/>
      </w:pPr>
      <w:r>
        <w:t xml:space="preserve"/>
      </w:r>
    </w:p>
    <w:p>
      <w:pPr>
        <w:spacing w:after="80" w:before="80"/>
        <w:jc w:val="left"/>
      </w:pPr>
      <w:r>
        <w:rPr>
          <w:rFonts w:ascii="Calibri" w:cs="Calibri" w:eastAsia="Calibri" w:hAnsi="Calibri"/>
          <w:b/>
          <w:bCs/>
          <w:color w:val="1A5276"/>
          <w:sz w:val="18"/>
          <w:szCs w:val="18"/>
        </w:rPr>
        <w:t xml:space="preserve">TARDE:</w:t>
      </w:r>
    </w:p>
    <w:p>
      <w:pPr>
        <w:spacing w:after="80" w:before="80"/>
        <w:jc w:val="left"/>
      </w:pPr>
      <w:r>
        <w:rPr>
          <w:rFonts w:ascii="Calibri" w:cs="Calibri" w:eastAsia="Calibri" w:hAnsi="Calibri"/>
          <w:b w:val="false"/>
          <w:bCs w:val="false"/>
          <w:color w:val="0D0D0D"/>
          <w:sz w:val="16"/>
          <w:szCs w:val="16"/>
        </w:rPr>
        <w:t xml:space="preserve">— Técnico: Configurar acceso RDP con usuario dedicado y contraseña segura. Instalar Windows Defender + Windows Update. Deshabilitar puertos innecesarios (SMB 445, NetBIOS 137-139). Configurar regla de firewall GCP: allow TCP 3389 SOLO desde las IPs de la oficina de Seguridad Alemana.
— En palabras simples: Se configura el acceso remoto seguro (reemplaza AnyDesk) y se protege el servidor contra ataques. Solo se puede conectar desde la oficina de Seguridad Alemana.</w:t>
      </w:r>
    </w:p>
    <w:p>
      <w:pPr>
        <w:spacing w:after="0" w:before="110"/>
      </w:pPr>
      <w:r>
        <w:t xml:space="preserve"/>
      </w:r>
    </w:p>
    <w:p>
      <w:pPr>
        <w:spacing w:after="80" w:before="200"/>
      </w:pPr>
      <w:r>
        <w:rPr>
          <w:rFonts w:ascii="Calibri" w:cs="Calibri" w:eastAsia="Calibri" w:hAnsi="Calibri"/>
          <w:b/>
          <w:bCs/>
          <w:color w:val="1A5276"/>
          <w:sz w:val="22"/>
          <w:szCs w:val="22"/>
        </w:rPr>
        <w:t xml:space="preserve">DÍA 3: Gestión de Licencia + Instalación</w:t>
      </w:r>
    </w:p>
    <w:p>
      <w:pPr>
        <w:spacing w:after="80" w:before="80"/>
        <w:jc w:val="left"/>
      </w:pPr>
      <w:r>
        <w:rPr>
          <w:rFonts w:ascii="Calibri" w:cs="Calibri" w:eastAsia="Calibri" w:hAnsi="Calibri"/>
          <w:b/>
          <w:bCs/>
          <w:color w:val="1A5276"/>
          <w:sz w:val="18"/>
          <w:szCs w:val="18"/>
        </w:rPr>
        <w:t xml:space="preserve">MAÑANA:</w:t>
      </w:r>
    </w:p>
    <w:p>
      <w:pPr>
        <w:spacing w:after="80" w:before="80"/>
        <w:jc w:val="left"/>
      </w:pPr>
      <w:r>
        <w:rPr>
          <w:rFonts w:ascii="Calibri" w:cs="Calibri" w:eastAsia="Calibri" w:hAnsi="Calibri"/>
          <w:b w:val="false"/>
          <w:bCs w:val="false"/>
          <w:color w:val="0D0D0D"/>
          <w:sz w:val="16"/>
          <w:szCs w:val="16"/>
        </w:rPr>
        <w:t xml:space="preserve">— Técnico: Contactar a Intelbras Soporte (+55 48 2106-0006 / suporte@intelbras.com.br) con el Hardware ID actual y solicitar transferencia al nuevo Hardware ID de la VM. Instalar .NET Framework 3.5, Firebird 2.5.4 (Win32), y Receptor IP v3.0.43.0.
— En palabras simples: Se llama a Intelbras para transferir la licencia al nuevo servidor. Luego se instala todo el software que necesita el Receptor IP para funcionar.</w:t>
      </w:r>
    </w:p>
    <w:p>
      <w:pPr>
        <w:spacing w:after="0" w:before="110"/>
      </w:pPr>
      <w:r>
        <w:t xml:space="preserve"/>
      </w:r>
    </w:p>
    <w:p>
      <w:pPr>
        <w:spacing w:after="80" w:before="80"/>
        <w:jc w:val="left"/>
      </w:pPr>
      <w:r>
        <w:rPr>
          <w:rFonts w:ascii="Calibri" w:cs="Calibri" w:eastAsia="Calibri" w:hAnsi="Calibri"/>
          <w:b/>
          <w:bCs/>
          <w:color w:val="1A5276"/>
          <w:sz w:val="18"/>
          <w:szCs w:val="18"/>
        </w:rPr>
        <w:t xml:space="preserve">TARDE:</w:t>
      </w:r>
    </w:p>
    <w:p>
      <w:pPr>
        <w:spacing w:after="80" w:before="80"/>
        <w:jc w:val="left"/>
      </w:pPr>
      <w:r>
        <w:rPr>
          <w:rFonts w:ascii="Calibri" w:cs="Calibri" w:eastAsia="Calibri" w:hAnsi="Calibri"/>
          <w:b w:val="false"/>
          <w:bCs w:val="false"/>
          <w:color w:val="0D0D0D"/>
          <w:sz w:val="16"/>
          <w:szCs w:val="16"/>
        </w:rPr>
        <w:t xml:space="preserve">— Técnico: Instalar ForwarderORS con configuración del puerto 9050 (solo localhost). Puerto 4002 NO se abre en el firewall externo — esto elimina las 2.260 conexiones de bots. Configurar como servicio de Windows con arranque automático.
— En palabras simples: Se instala el puente que conecta el Receptor IP con el software de monitoreo (OSR). El puerto que usaban los bots queda cerrado — nunca más recibirá tráfico basura.</w:t>
      </w:r>
    </w:p>
    <w:p>
      <w:pPr>
        <w:spacing w:after="0" w:before="110"/>
      </w:pPr>
      <w:r>
        <w:t xml:space="preserve"/>
      </w:r>
    </w:p>
    <w:p>
      <w:pPr>
        <w:spacing w:after="80" w:before="200"/>
      </w:pPr>
      <w:r>
        <w:rPr>
          <w:rFonts w:ascii="Calibri" w:cs="Calibri" w:eastAsia="Calibri" w:hAnsi="Calibri"/>
          <w:b/>
          <w:bCs/>
          <w:color w:val="1A5276"/>
          <w:sz w:val="22"/>
          <w:szCs w:val="22"/>
        </w:rPr>
        <w:t xml:space="preserve">DÍA 4: Migración de Datos + Reconexión</w:t>
      </w:r>
    </w:p>
    <w:p>
      <w:pPr>
        <w:spacing w:after="80" w:before="80"/>
        <w:jc w:val="left"/>
      </w:pPr>
      <w:r>
        <w:rPr>
          <w:rFonts w:ascii="Calibri" w:cs="Calibri" w:eastAsia="Calibri" w:hAnsi="Calibri"/>
          <w:b/>
          <w:bCs/>
          <w:color w:val="1A5276"/>
          <w:sz w:val="18"/>
          <w:szCs w:val="18"/>
        </w:rPr>
        <w:t xml:space="preserve">MAÑANA:</w:t>
      </w:r>
    </w:p>
    <w:p>
      <w:pPr>
        <w:spacing w:after="80" w:before="80"/>
        <w:jc w:val="left"/>
      </w:pPr>
      <w:r>
        <w:rPr>
          <w:rFonts w:ascii="Calibri" w:cs="Calibri" w:eastAsia="Calibri" w:hAnsi="Calibri"/>
          <w:b w:val="false"/>
          <w:bCs w:val="false"/>
          <w:color w:val="0D0D0D"/>
          <w:sz w:val="16"/>
          <w:szCs w:val="16"/>
        </w:rPr>
        <w:t xml:space="preserve">— Técnico: Ejecutar gbak -b -v RECEPTORIP.FDB RECEPTORIP.fbk en el servidor actual. Transferir el .fbk a la VM vía SCP/RDP. Restaurar con gbak -c -v RECEPTORIP.fbk RECEPTORIP.FDB. Verificar integridad con gfix -v -full.
— En palabras simples: Se hace una copia de seguridad de la base de datos del servidor actual, se transfiere al nuevo servidor en la nube, y se verifica que toda la información esté completa.</w:t>
      </w:r>
    </w:p>
    <w:p>
      <w:pPr>
        <w:spacing w:after="0" w:before="110"/>
      </w:pPr>
      <w:r>
        <w:t xml:space="preserve"/>
      </w:r>
    </w:p>
    <w:p>
      <w:pPr>
        <w:spacing w:after="80" w:before="80"/>
        <w:jc w:val="left"/>
      </w:pPr>
      <w:r>
        <w:rPr>
          <w:rFonts w:ascii="Calibri" w:cs="Calibri" w:eastAsia="Calibri" w:hAnsi="Calibri"/>
          <w:b/>
          <w:bCs/>
          <w:color w:val="1A5276"/>
          <w:sz w:val="18"/>
          <w:szCs w:val="18"/>
        </w:rPr>
        <w:t xml:space="preserve">TARDE:</w:t>
      </w:r>
    </w:p>
    <w:p>
      <w:pPr>
        <w:spacing w:after="80" w:before="80"/>
        <w:jc w:val="left"/>
      </w:pPr>
      <w:r>
        <w:rPr>
          <w:rFonts w:ascii="Calibri" w:cs="Calibri" w:eastAsia="Calibri" w:hAnsi="Calibri"/>
          <w:b w:val="false"/>
          <w:bCs w:val="false"/>
          <w:color w:val="0D0D0D"/>
          <w:sz w:val="16"/>
          <w:szCs w:val="16"/>
        </w:rPr>
        <w:t xml:space="preserve">— Técnico: Acceder al portal web de Intelbras Cloud. Actualizar la IP de destino del servidor de 201.244.124.14 (IP actual dinámica) a la nueva IP estática de GCP. Verificar reconexión de los 16 paneles en el puerto 9009. Monitorear logs del Receptor IP durante 2 horas.
— En palabras simples: Se cambia la dirección de destino en el portal de Intelbras. UN solo cambio = los 16 paneles empiezan a enviar las señales al nuevo servidor automáticamente. Se monitorea que todo funcione bien.</w:t>
      </w:r>
    </w:p>
    <w:p>
      <w:pPr>
        <w:spacing w:after="0" w:before="110"/>
      </w:pPr>
      <w:r>
        <w:t xml:space="preserve"/>
      </w:r>
    </w:p>
    <w:p>
      <w:pPr>
        <w:spacing w:after="80" w:before="200"/>
      </w:pPr>
      <w:r>
        <w:rPr>
          <w:rFonts w:ascii="Calibri" w:cs="Calibri" w:eastAsia="Calibri" w:hAnsi="Calibri"/>
          <w:b/>
          <w:bCs/>
          <w:color w:val="1A5276"/>
          <w:sz w:val="22"/>
          <w:szCs w:val="22"/>
        </w:rPr>
        <w:t xml:space="preserve">DÍA 5: Validación + Entrega</w:t>
      </w:r>
    </w:p>
    <w:p>
      <w:pPr>
        <w:spacing w:after="80" w:before="80"/>
        <w:jc w:val="left"/>
      </w:pPr>
      <w:r>
        <w:rPr>
          <w:rFonts w:ascii="Calibri" w:cs="Calibri" w:eastAsia="Calibri" w:hAnsi="Calibri"/>
          <w:b/>
          <w:bCs/>
          <w:color w:val="1A5276"/>
          <w:sz w:val="18"/>
          <w:szCs w:val="18"/>
        </w:rPr>
        <w:t xml:space="preserve">MAÑANA:</w:t>
      </w:r>
    </w:p>
    <w:p>
      <w:pPr>
        <w:spacing w:after="80" w:before="80"/>
        <w:jc w:val="left"/>
      </w:pPr>
      <w:r>
        <w:rPr>
          <w:rFonts w:ascii="Calibri" w:cs="Calibri" w:eastAsia="Calibri" w:hAnsi="Calibri"/>
          <w:b w:val="false"/>
          <w:bCs w:val="false"/>
          <w:color w:val="0D0D0D"/>
          <w:sz w:val="16"/>
          <w:szCs w:val="16"/>
        </w:rPr>
        <w:t xml:space="preserve">— Técnico: Prueba de señal real: activar y desactivar un panel para verificar recepción completa del evento en Receptor IP → ForwarderORS → OSR. Verificar logs de Firebird. Revisar Cloud Monitoring para confirmar uso de CPU/RAM/disco.
— En palabras simples: Se hace una prueba real: se activa una alarma para confirmar que la señal llega correctamente al nuevo servidor y aparece en la pantalla del operador.</w:t>
      </w:r>
    </w:p>
    <w:p>
      <w:pPr>
        <w:spacing w:after="0" w:before="110"/>
      </w:pPr>
      <w:r>
        <w:t xml:space="preserve"/>
      </w:r>
    </w:p>
    <w:p>
      <w:pPr>
        <w:spacing w:after="80" w:before="80"/>
        <w:jc w:val="left"/>
      </w:pPr>
      <w:r>
        <w:rPr>
          <w:rFonts w:ascii="Calibri" w:cs="Calibri" w:eastAsia="Calibri" w:hAnsi="Calibri"/>
          <w:b/>
          <w:bCs/>
          <w:color w:val="1A5276"/>
          <w:sz w:val="18"/>
          <w:szCs w:val="18"/>
        </w:rPr>
        <w:t xml:space="preserve">TARDE:</w:t>
      </w:r>
    </w:p>
    <w:p>
      <w:pPr>
        <w:spacing w:after="80" w:before="80"/>
        <w:jc w:val="left"/>
      </w:pPr>
      <w:r>
        <w:rPr>
          <w:rFonts w:ascii="Calibri" w:cs="Calibri" w:eastAsia="Calibri" w:hAnsi="Calibri"/>
          <w:b w:val="false"/>
          <w:bCs w:val="false"/>
          <w:color w:val="0D0D0D"/>
          <w:sz w:val="16"/>
          <w:szCs w:val="16"/>
        </w:rPr>
        <w:t xml:space="preserve">— Técnico: Generar documentación: fichas de IPs, usuarios, contraseñas (en gestor seguro), manual de acceso RDP, guía de restauración de snapshots, procedimiento de backup con gbak. Sesión de entrega con el equipo técnico.
— En palabras simples: Se entrega toda la documentación del nuevo sistema y se explica cómo acceder, cómo restaurar si algo falla, y cómo funciona todo.</w:t>
      </w:r>
    </w:p>
    <w:p>
      <w:pPr>
        <w:spacing w:after="0" w:before="110"/>
      </w:pPr>
      <w:r>
        <w:t xml:space="preserve"/>
      </w:r>
    </w:p>
    <w:p>
      <w:r>
        <w:br w:type="page"/>
      </w:r>
    </w:p>
    <w:p>
      <w:pPr>
        <w:pBdr>
          <w:bottom w:val="single" w:color="2471A3" w:sz="8" w:space="4"/>
        </w:pBdr>
        <w:spacing w:after="120" w:before="340"/>
      </w:pPr>
      <w:r>
        <w:rPr>
          <w:rFonts w:ascii="Calibri" w:cs="Calibri" w:eastAsia="Calibri" w:hAnsi="Calibri"/>
          <w:b/>
          <w:bCs/>
          <w:color w:val="0B1C2E"/>
          <w:sz w:val="26"/>
          <w:szCs w:val="26"/>
        </w:rPr>
        <w:t xml:space="preserve">16. CRONOGRAMA RESUMEN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6060"/>
      </w:tblGrid>
      <w:tr>
        <w:trPr>
          <w:tblHeader/>
        </w:trPr>
        <w:tc>
          <w:tcPr>
            <w:tcW w:type="dxa" w:w="15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Fase</w:t>
            </w:r>
          </w:p>
        </w:tc>
        <w:tc>
          <w:tcPr>
            <w:tcW w:type="dxa" w:w="180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Duración</w:t>
            </w:r>
          </w:p>
        </w:tc>
        <w:tc>
          <w:tcPr>
            <w:tcW w:type="dxa" w:w="6060"/>
            <w:tcBorders>
              <w:top w:val="single" w:color="CDD3DB" w:sz="1"/>
              <w:left w:val="single" w:color="CDD3DB" w:sz="1"/>
              <w:bottom w:val="single" w:color="CDD3DB" w:sz="1"/>
              <w:right w:val="single" w:color="CDD3DB" w:sz="1"/>
            </w:tcBorders>
            <w:shd w:fill="163654" w:val="clear"/>
            <w:tcMar>
              <w:top w:type="dxa" w:w="100"/>
              <w:left w:type="dxa" w:w="140"/>
              <w:bottom w:type="dxa" w:w="100"/>
              <w:right w:type="dxa" w:w="140"/>
            </w:tcMar>
            <w:vAlign w:val="center"/>
          </w:tcPr>
          <w:p>
            <w:pPr>
              <w:jc w:val="left"/>
            </w:pPr>
            <w:r>
              <w:rPr>
                <w:rFonts w:ascii="Calibri" w:cs="Calibri" w:eastAsia="Calibri" w:hAnsi="Calibri"/>
                <w:b/>
                <w:bCs/>
                <w:color w:val="FFFFFF"/>
                <w:sz w:val="17"/>
                <w:szCs w:val="17"/>
              </w:rPr>
              <w:t xml:space="preserve">Actividades</w:t>
            </w:r>
          </w:p>
        </w:tc>
      </w:tr>
      <w:tr>
        <w:tc>
          <w:tcPr>
            <w:tcW w:type="dxa" w:w="1500"/>
            <w:tcBorders>
              <w:top w:val="single" w:color="CDD3DB" w:sz="1"/>
              <w:left w:val="single" w:color="CDD3DB" w:sz="1"/>
              <w:bottom w:val="single" w:color="CDD3DB" w:sz="1"/>
              <w:right w:val="single" w:color="CDD3DB" w:sz="1"/>
            </w:tcBorders>
            <w:shd w:fill="D1F2EB"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 FASE 0</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COMPLETADA
6 mayo 2026</w:t>
            </w:r>
          </w:p>
        </w:tc>
        <w:tc>
          <w:tcPr>
            <w:tcW w:type="dxa" w:w="6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Auditoría realizada: diagnóstico del servidor, inventario completo, análisis de las 2.260 conexiones, confirmación de 16 paneles, identificación de riesgos.</w:t>
            </w:r>
          </w:p>
        </w:tc>
      </w:tr>
      <w:tr>
        <w:tc>
          <w:tcPr>
            <w:tcW w:type="dxa" w:w="15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FASE 1</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Día 1</w:t>
            </w:r>
          </w:p>
        </w:tc>
        <w:tc>
          <w:tcPr>
            <w:tcW w:type="dxa" w:w="6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Arquitectura GCP, proyecto, permisos, red VPC, firewall granular (solo puertos 9009/9050/3389), IP estática.</w:t>
            </w:r>
          </w:p>
        </w:tc>
      </w:tr>
      <w:tr>
        <w:tc>
          <w:tcPr>
            <w:tcW w:type="dxa" w:w="15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FASE 2</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Día 2</w:t>
            </w:r>
          </w:p>
        </w:tc>
        <w:tc>
          <w:tcPr>
            <w:tcW w:type="dxa" w:w="6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VM Windows Server 2022, disco SSD 50GB, RDP seguro, snapshots automáticos, Windows Update + Defender.</w:t>
            </w:r>
          </w:p>
        </w:tc>
      </w:tr>
      <w:tr>
        <w:tc>
          <w:tcPr>
            <w:tcW w:type="dxa" w:w="15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FASE 3</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Días 3–4</w:t>
            </w:r>
          </w:p>
        </w:tc>
        <w:tc>
          <w:tcPr>
            <w:tcW w:type="dxa" w:w="6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Gestión licencia Intelbras, instalación Receptor IP + ForwarderORS + Firebird, migración BD con gbak, cambio IP en Intelbras Cloud, pruebas.</w:t>
            </w:r>
          </w:p>
        </w:tc>
      </w:tr>
      <w:tr>
        <w:tc>
          <w:tcPr>
            <w:tcW w:type="dxa" w:w="1500"/>
            <w:tcBorders>
              <w:top w:val="single" w:color="CDD3DB" w:sz="1"/>
              <w:left w:val="single" w:color="CDD3DB" w:sz="1"/>
              <w:bottom w:val="single" w:color="CDD3DB" w:sz="1"/>
              <w:right w:val="single" w:color="CDD3DB" w:sz="1"/>
            </w:tcBorders>
            <w:shd w:fill="F4F6F8"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FASE 4</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Día 5</w:t>
            </w:r>
          </w:p>
        </w:tc>
        <w:tc>
          <w:tcPr>
            <w:tcW w:type="dxa" w:w="6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Prueba de señal real, documentación técnica, sesión de entrega, handover de credenciales, activación soporte gratuito (1 mes).</w:t>
            </w:r>
          </w:p>
        </w:tc>
      </w:tr>
      <w:tr>
        <w:tc>
          <w:tcPr>
            <w:tcW w:type="dxa" w:w="1500"/>
            <w:tcBorders>
              <w:top w:val="single" w:color="CDD3DB" w:sz="1"/>
              <w:left w:val="single" w:color="CDD3DB" w:sz="1"/>
              <w:bottom w:val="single" w:color="CDD3DB" w:sz="1"/>
              <w:right w:val="single" w:color="CDD3DB" w:sz="1"/>
            </w:tcBorders>
            <w:shd w:fill="EBF5FB" w:val="clear"/>
            <w:tcMar>
              <w:top w:type="dxa" w:w="100"/>
              <w:left w:type="dxa" w:w="140"/>
              <w:bottom w:type="dxa" w:w="100"/>
              <w:right w:type="dxa" w:w="140"/>
            </w:tcMar>
            <w:vAlign w:val="center"/>
          </w:tcPr>
          <w:p>
            <w:pPr>
              <w:jc w:val="left"/>
            </w:pPr>
            <w:r>
              <w:rPr>
                <w:rFonts w:ascii="Calibri" w:cs="Calibri" w:eastAsia="Calibri" w:hAnsi="Calibri"/>
                <w:b/>
                <w:bCs/>
                <w:color w:val="0D0D0D"/>
                <w:sz w:val="18"/>
                <w:szCs w:val="18"/>
              </w:rPr>
              <w:t xml:space="preserve">TOTAL</w:t>
            </w:r>
          </w:p>
        </w:tc>
        <w:tc>
          <w:tcPr>
            <w:tcW w:type="dxa" w:w="180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center"/>
            </w:pPr>
            <w:r>
              <w:rPr>
                <w:rFonts w:ascii="Calibri" w:cs="Calibri" w:eastAsia="Calibri" w:hAnsi="Calibri"/>
                <w:b w:val="false"/>
                <w:bCs w:val="false"/>
                <w:color w:val="0D0D0D"/>
                <w:sz w:val="18"/>
                <w:szCs w:val="18"/>
              </w:rPr>
              <w:t xml:space="preserve">5 días hábiles</w:t>
            </w:r>
          </w:p>
        </w:tc>
        <w:tc>
          <w:tcPr>
            <w:tcW w:type="dxa" w:w="6060"/>
            <w:tcBorders>
              <w:top w:val="single" w:color="CDD3DB" w:sz="1"/>
              <w:left w:val="single" w:color="CDD3DB" w:sz="1"/>
              <w:bottom w:val="single" w:color="CDD3DB" w:sz="1"/>
              <w:right w:val="single" w:color="CDD3DB" w:sz="1"/>
            </w:tcBorders>
            <w:shd w:fill="FFFFFF" w:val="clear"/>
            <w:tcMar>
              <w:top w:type="dxa" w:w="100"/>
              <w:left w:type="dxa" w:w="140"/>
              <w:bottom w:type="dxa" w:w="100"/>
              <w:right w:type="dxa" w:w="140"/>
            </w:tcMar>
            <w:vAlign w:val="center"/>
          </w:tcPr>
          <w:p>
            <w:pPr>
              <w:jc w:val="left"/>
            </w:pPr>
            <w:r>
              <w:rPr>
                <w:rFonts w:ascii="Calibri" w:cs="Calibri" w:eastAsia="Calibri" w:hAnsi="Calibri"/>
                <w:b w:val="false"/>
                <w:bCs w:val="false"/>
                <w:color w:val="0D0D0D"/>
                <w:sz w:val="15"/>
                <w:szCs w:val="15"/>
              </w:rPr>
              <w:t xml:space="preserve">Desde la aprobación. La auditoría ya está completa. Los $300 USD de crédito de Google cubren los primeros 3 meses.</w:t>
            </w:r>
          </w:p>
        </w:tc>
      </w:tr>
    </w:tbl>
    <w:sectPr>
      <w:headerReference w:type="default" r:id="rId7"/>
      <w:footerReference w:type="default" r:id="rId8"/>
      <w:pgSz w:w="12240" w:h="15840" w:orient="portrait"/>
      <w:pgMar w:top="900" w:right="1008" w:bottom="900"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471A3" w:sz="4" w:space="4"/>
      </w:pBdr>
      <w:jc w:val="center"/>
    </w:pPr>
    <w:r>
      <w:rPr>
        <w:rFonts w:ascii="Calibri" w:cs="Calibri" w:eastAsia="Calibri" w:hAnsi="Calibri"/>
        <w:color w:val="7F8C8D"/>
        <w:sz w:val="15"/>
        <w:szCs w:val="15"/>
      </w:rPr>
      <w:t xml:space="preserve">Pág. </w:t>
    </w:r>
    <w:r>
      <w:rPr>
        <w:rFonts w:ascii="Calibri" w:cs="Calibri" w:eastAsia="Calibri" w:hAnsi="Calibri"/>
        <w:color w:val="7F8C8D"/>
        <w:sz w:val="15"/>
        <w:szCs w:val="15"/>
      </w:rPr>
      <w:fldChar w:fldCharType="begin"/>
      <w:instrText xml:space="preserve">PAGE</w:instrText>
      <w:fldChar w:fldCharType="separate"/>
      <w:fldChar w:fldCharType="end"/>
    </w:r>
    <w:r>
      <w:rPr>
        <w:rFonts w:ascii="Calibri" w:cs="Calibri" w:eastAsia="Calibri" w:hAnsi="Calibri"/>
        <w:color w:val="7F8C8D"/>
        <w:sz w:val="15"/>
        <w:szCs w:val="15"/>
      </w:rPr>
      <w:t xml:space="preserve"> / </w:t>
    </w:r>
    <w:r>
      <w:rPr>
        <w:rFonts w:ascii="Calibri" w:cs="Calibri" w:eastAsia="Calibri" w:hAnsi="Calibri"/>
        <w:color w:val="7F8C8D"/>
        <w:sz w:val="15"/>
        <w:szCs w:val="15"/>
      </w:rPr>
      <w:fldChar w:fldCharType="begin"/>
      <w:instrText xml:space="preserve">NUMPAGES</w:instrText>
      <w:fldChar w:fldCharType="separate"/>
      <w:fldChar w:fldCharType="end"/>
    </w:r>
    <w:r>
      <w:rPr>
        <w:rFonts w:ascii="Calibri" w:cs="Calibri" w:eastAsia="Calibri" w:hAnsi="Calibri"/>
        <w:color w:val="7F8C8D"/>
        <w:sz w:val="15"/>
        <w:szCs w:val="15"/>
      </w:rPr>
      <w:t xml:space="preserve">   ·   Documento estratégico de decisión empresarial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471A3" w:sz="4" w:space="4"/>
      </w:pBdr>
      <w:jc w:val="right"/>
    </w:pPr>
    <w:r>
      <w:rPr>
        <w:rFonts w:ascii="Calibri" w:cs="Calibri" w:eastAsia="Calibri" w:hAnsi="Calibri"/>
        <w:color w:val="7F8C8D"/>
        <w:sz w:val="15"/>
        <w:szCs w:val="15"/>
      </w:rPr>
      <w:t xml:space="preserve">Seguridad Alemana LTDA  ·  Modernización Cloud 24/7  ·  Confidencial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2026-05-11T10:53:17.517Z</dcterms:created>
  <dcterms:modified xsi:type="dcterms:W3CDTF">2026-05-11T10:53:17.517Z</dcterms:modified>
</cp:coreProperties>
</file>

<file path=docProps/custom.xml><?xml version="1.0" encoding="utf-8"?>
<Properties xmlns="http://schemas.openxmlformats.org/officeDocument/2006/custom-properties" xmlns:vt="http://schemas.openxmlformats.org/officeDocument/2006/docPropsVTypes"/>
</file>